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38675" w14:textId="77777777" w:rsidR="00B317A8" w:rsidRPr="00C902FE" w:rsidRDefault="00B317A8" w:rsidP="00050F11">
      <w:pPr>
        <w:pStyle w:val="Title"/>
        <w:rPr>
          <w:rFonts w:asciiTheme="minorHAnsi" w:hAnsiTheme="minorHAnsi" w:cstheme="minorHAnsi"/>
          <w:sz w:val="24"/>
        </w:rPr>
      </w:pPr>
      <w:bookmarkStart w:id="0" w:name="_Hlk483344393"/>
      <w:bookmarkStart w:id="1" w:name="_GoBack"/>
      <w:bookmarkEnd w:id="0"/>
      <w:bookmarkEnd w:id="1"/>
      <w:r w:rsidRPr="00C902FE">
        <w:rPr>
          <w:rFonts w:asciiTheme="minorHAnsi" w:hAnsiTheme="minorHAnsi" w:cstheme="minorHAnsi"/>
          <w:sz w:val="24"/>
        </w:rPr>
        <w:t>EVALUATING THE IMPACT OF LIGHT-RAIL ON URBAN GENTRIFICATION: QUANTIATIVE EVIDENCE FROM NOTTINGHAM’S N.E.T</w:t>
      </w:r>
    </w:p>
    <w:p w14:paraId="4F9A35A8" w14:textId="77777777" w:rsidR="00B317A8" w:rsidRDefault="00B317A8" w:rsidP="00050F11"/>
    <w:p w14:paraId="6A09514F" w14:textId="77777777" w:rsidR="00B317A8" w:rsidRDefault="00B317A8" w:rsidP="00050F11">
      <w:pPr>
        <w:pStyle w:val="Subtitle"/>
        <w:rPr>
          <w:rFonts w:asciiTheme="minorHAnsi" w:hAnsiTheme="minorHAnsi" w:cstheme="minorHAnsi"/>
        </w:rPr>
      </w:pPr>
      <w:r w:rsidRPr="00C902FE">
        <w:rPr>
          <w:rFonts w:asciiTheme="minorHAnsi" w:hAnsiTheme="minorHAnsi" w:cstheme="minorHAnsi"/>
        </w:rPr>
        <w:t>Edward Dawes</w:t>
      </w:r>
      <w:r w:rsidRPr="00C902FE">
        <w:rPr>
          <w:rFonts w:asciiTheme="minorHAnsi" w:hAnsiTheme="minorHAnsi" w:cstheme="minorHAnsi"/>
        </w:rPr>
        <w:br/>
        <w:t>ARUP</w:t>
      </w:r>
    </w:p>
    <w:p w14:paraId="02813764" w14:textId="77777777" w:rsidR="008D03A9" w:rsidRPr="00567EF1" w:rsidRDefault="00B317A8" w:rsidP="00567EF1">
      <w:pPr>
        <w:pStyle w:val="Heading1"/>
      </w:pPr>
      <w:r w:rsidRPr="00567EF1">
        <w:t>INTRODUCTION</w:t>
      </w:r>
    </w:p>
    <w:p w14:paraId="3236BC30" w14:textId="77777777" w:rsidR="009D76F5" w:rsidRDefault="009D76F5" w:rsidP="00050F11">
      <w:r w:rsidRPr="00E43561">
        <w:t xml:space="preserve">Investment in light-rail transit (LRT) systems is often regarded in planning policy and empirical literature as one of the most effective measures to improve the performance and quality of public transport provision within urban areas. They are often assumed to help local authorities achieve various desirable transport policy objectives as the design and operational features provide advantages over more conventional forms of public transport investment. These advantages frequently include but are not limited to: faster and more reliable journey times; higher capacities, improved ride comfort, greater operational efficiency and reductions in localised air pollution (Vuchic, 2007; Dabinett, 1998). </w:t>
      </w:r>
    </w:p>
    <w:p w14:paraId="78DE5481" w14:textId="77777777" w:rsidR="009D76F5" w:rsidRDefault="009D76F5" w:rsidP="00050F11"/>
    <w:p w14:paraId="045CCC42" w14:textId="77777777" w:rsidR="00B317A8" w:rsidRDefault="009D76F5" w:rsidP="00050F11">
      <w:r>
        <w:t xml:space="preserve">Policy makers and planners </w:t>
      </w:r>
      <w:r w:rsidR="000B7F60">
        <w:t>alike advocate</w:t>
      </w:r>
      <w:r>
        <w:t xml:space="preserve"> the ability of light-rail </w:t>
      </w:r>
      <w:r w:rsidR="00B317A8" w:rsidRPr="00B317A8">
        <w:t>to drive improvements in accessi</w:t>
      </w:r>
      <w:r w:rsidR="000B7F60">
        <w:t>bility to jobs and key services, in</w:t>
      </w:r>
      <w:r w:rsidR="00B317A8" w:rsidRPr="00B317A8">
        <w:t xml:space="preserve"> turn </w:t>
      </w:r>
      <w:r w:rsidR="000B7F60">
        <w:t>increasing</w:t>
      </w:r>
      <w:r w:rsidR="00B317A8" w:rsidRPr="00B317A8">
        <w:t xml:space="preserve"> the attractiveness of land in the areas around stations and route corridors (Vuchic, 2007; Dabinett, 1998). This </w:t>
      </w:r>
      <w:r>
        <w:t>increase in attractiveness can encourage</w:t>
      </w:r>
      <w:r w:rsidR="00B317A8" w:rsidRPr="00B317A8">
        <w:t xml:space="preserve"> gentrification to occur in the form of an inward migration of a higher socio-economic class of resident, attracting greater inward investment that revitalises and regenerates an area (PTEG, 2005; Knowles and Ferbrache, 2015). However, despite the viability of urban public transport schemes often being justified based on the evaluation of potential wider economic growth, the extent of the relationship between light-rail investment and land use in practice remains a highly-c</w:t>
      </w:r>
      <w:r w:rsidR="000B7F60">
        <w:t>ontested area of the literature. E</w:t>
      </w:r>
      <w:r w:rsidR="00B317A8" w:rsidRPr="00B317A8">
        <w:t xml:space="preserve">mpirical studies </w:t>
      </w:r>
      <w:r w:rsidR="000B7F60">
        <w:t>are often found to</w:t>
      </w:r>
      <w:r w:rsidR="00B317A8" w:rsidRPr="00B317A8">
        <w:t xml:space="preserve"> </w:t>
      </w:r>
      <w:r w:rsidR="000B7F60">
        <w:t>produce</w:t>
      </w:r>
      <w:r w:rsidR="00B317A8" w:rsidRPr="00B317A8">
        <w:t xml:space="preserve"> highly variable results across a range of different approaches (Mohammed et al, 2013; RICS, 2002). </w:t>
      </w:r>
    </w:p>
    <w:p w14:paraId="7714A8F6" w14:textId="77777777" w:rsidR="00B317A8" w:rsidRDefault="00B317A8" w:rsidP="00050F11"/>
    <w:p w14:paraId="6EA2CCEA" w14:textId="77777777" w:rsidR="00B317A8" w:rsidRPr="00C95A92" w:rsidRDefault="00B317A8" w:rsidP="00050F11">
      <w:r w:rsidRPr="00C95A92">
        <w:t xml:space="preserve">This research identifies the crucial importance of developing an improved understanding of the relationship between light rail investment and urban gentrification as a crucial element of determining a future for light-rail investment in the UK (RICS, 2002; Knowles, 2007). If increases in the attractiveness of property and land around stations are evident through a growth in value, is this growth enough to encourage the socio-economic shifts associated with gentrification to take place? If so, light-rail and rapid transit investment could have a substantially greater impact on the economic and social prosperity of urban areas that is likely to have been neglected from the overall scheme appraisal. Improving the recognition of wider socio-economic changes that may arise as a result of light-rail investment will be crucial to develop mechanisms for funding and securing the future financial viability and feasibility of light-rail investment. </w:t>
      </w:r>
    </w:p>
    <w:p w14:paraId="769C2E68" w14:textId="77777777" w:rsidR="00B317A8" w:rsidRPr="00B317A8" w:rsidRDefault="00B317A8" w:rsidP="00050F11"/>
    <w:p w14:paraId="60AD404B" w14:textId="77777777" w:rsidR="00B317A8" w:rsidRPr="00B317A8" w:rsidRDefault="00B317A8" w:rsidP="00567EF1">
      <w:pPr>
        <w:pStyle w:val="Heading1"/>
      </w:pPr>
      <w:r w:rsidRPr="00B317A8">
        <w:lastRenderedPageBreak/>
        <w:t>METHODOLOGY</w:t>
      </w:r>
    </w:p>
    <w:p w14:paraId="71886877" w14:textId="77777777" w:rsidR="00B317A8" w:rsidRDefault="00B317A8" w:rsidP="00050F11">
      <w:r w:rsidRPr="00C95A92">
        <w:t>There exists a consensus across the literature that gentrification has shaped social and physical aspects of neighbourhoods, but academics and researchers have yet to come to an agreement on how gentrified neighbourhoods should be identified (Hackworth, 2007). The adopted methodological approach was therefore devised taking account of recommendations from Hamnett (1984) regarding the need to account for physical, economic, social and cultural changes evident within the urban environment. The methodology was also devised following an assessment of the relevant strengths and weaknesses from a range of empirical investigations as well as the associated level of complexity and intensity of resource/data requirements (Mohammed et al, 2013; Atkinson and Bridge, 2005; Nesbitt, 2005).</w:t>
      </w:r>
    </w:p>
    <w:p w14:paraId="191C9AAA" w14:textId="77777777" w:rsidR="00B317A8" w:rsidRPr="00567EF1" w:rsidRDefault="00B317A8" w:rsidP="00567EF1">
      <w:pPr>
        <w:pStyle w:val="Sub-heading1"/>
      </w:pPr>
      <w:r w:rsidRPr="00567EF1">
        <w:t>Identifying Eligible Census Zones</w:t>
      </w:r>
    </w:p>
    <w:p w14:paraId="796621EE" w14:textId="77777777" w:rsidR="00B317A8" w:rsidRPr="006F6DB0" w:rsidRDefault="00B317A8" w:rsidP="00050F11">
      <w:r w:rsidRPr="006F6DB0">
        <w:t>It was necessary to determine the location and density of neighbourhoods with the potential to be gentrified over the ten-year period. Census zones were tested throughout the urban area based on their eligibility in the base scenario (2001). This would help determine the extent to which a change in indicators by zone or by stop on the N.E.T system could potentially indicate instances of on-going gentrification. Based on recommendations from Freeman (2005) and Hammel (1996) the decision was taken to identify eligible LSOA zones based on those that are within the lower quartiles for housing value and the upper quartiles for the proportion of lower level occupations, helping to quantify the extent of likely neighbourhood socio-economic status, income and the level of disinvestment experienced (Freeman, 2005). The census zones were then mapped based on their eligibility to gentrify and identifie</w:t>
      </w:r>
      <w:r w:rsidR="006E1FF6">
        <w:t>d for further analysis (Figure 2</w:t>
      </w:r>
      <w:r w:rsidRPr="006F6DB0">
        <w:t>.1).</w:t>
      </w:r>
    </w:p>
    <w:p w14:paraId="5E308DD0" w14:textId="77777777" w:rsidR="00B317A8" w:rsidRDefault="00B317A8" w:rsidP="00050F11"/>
    <w:p w14:paraId="07BD4333" w14:textId="77777777" w:rsidR="00050F11" w:rsidRDefault="00050F11" w:rsidP="00050F11">
      <w:r>
        <w:rPr>
          <w:noProof/>
          <w:lang w:eastAsia="en-GB"/>
        </w:rPr>
        <w:drawing>
          <wp:inline distT="0" distB="0" distL="0" distR="0" wp14:anchorId="0697ECFA" wp14:editId="0D6AF416">
            <wp:extent cx="4089837" cy="5804452"/>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entrification Eligible AZones.JPG"/>
                    <pic:cNvPicPr/>
                  </pic:nvPicPr>
                  <pic:blipFill rotWithShape="1">
                    <a:blip r:embed="rId8" cstate="print">
                      <a:extLst>
                        <a:ext uri="{28A0092B-C50C-407E-A947-70E740481C1C}">
                          <a14:useLocalDpi xmlns:a14="http://schemas.microsoft.com/office/drawing/2010/main" val="0"/>
                        </a:ext>
                      </a:extLst>
                    </a:blip>
                    <a:srcRect l="1589" t="1249" r="1223" b="1165"/>
                    <a:stretch/>
                  </pic:blipFill>
                  <pic:spPr bwMode="auto">
                    <a:xfrm>
                      <a:off x="0" y="0"/>
                      <a:ext cx="4127491" cy="58578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2C7BED1" w14:textId="77777777" w:rsidR="00050F11" w:rsidRPr="00B317A8" w:rsidRDefault="006E1FF6" w:rsidP="00050F11">
      <w:pPr>
        <w:pStyle w:val="Caption"/>
      </w:pPr>
      <w:r>
        <w:t>Figure 2</w:t>
      </w:r>
      <w:r w:rsidR="00050F11" w:rsidRPr="00B317A8">
        <w:t>.</w:t>
      </w:r>
      <w:fldSimple w:instr=" SEQ Figure \* ARABIC \s 1 ">
        <w:r w:rsidR="00050F11">
          <w:rPr>
            <w:noProof/>
          </w:rPr>
          <w:t>1</w:t>
        </w:r>
      </w:fldSimple>
      <w:r w:rsidR="00050F11">
        <w:t xml:space="preserve"> – </w:t>
      </w:r>
      <w:r w:rsidR="008E4BB6" w:rsidRPr="008E4BB6">
        <w:rPr>
          <w:b w:val="0"/>
        </w:rPr>
        <w:t xml:space="preserve">Nottingham City </w:t>
      </w:r>
      <w:r w:rsidR="00050F11" w:rsidRPr="008E4BB6">
        <w:rPr>
          <w:b w:val="0"/>
        </w:rPr>
        <w:t>Eligible Gentrification Zones (LSOA)</w:t>
      </w:r>
    </w:p>
    <w:p w14:paraId="43F00FBF" w14:textId="77777777" w:rsidR="00B317A8" w:rsidRPr="00567EF1" w:rsidRDefault="00B317A8" w:rsidP="00567EF1">
      <w:pPr>
        <w:pStyle w:val="Heading2"/>
      </w:pPr>
      <w:r w:rsidRPr="00567EF1">
        <w:t>Measuring Gentrification</w:t>
      </w:r>
    </w:p>
    <w:p w14:paraId="6B98F897" w14:textId="77777777" w:rsidR="00B317A8" w:rsidRPr="00C95A92" w:rsidRDefault="00B317A8" w:rsidP="00B317A8">
      <w:pPr>
        <w:pStyle w:val="Body"/>
      </w:pPr>
      <w:r w:rsidRPr="00C95A92">
        <w:t xml:space="preserve">The lack of a consensual definition of gentrification (Smith, 1996), as identified in the literature review makes measuring gentrification difficult, and the need to develop a comprehensive understanding of these opposing definitions is important in devising a good methodological approach. One of the most prominent aspects of the gentrification process is the importance of capital values (production-side) and how accessibility changes the ‘rent-gap’ often reflected in the value of land/property prices (Smith, 1979). This is the more conventional understanding, and links strongly into the analysis of how light-rail influences the value of land through creating new accessibility constructs within the urban environment through faster and more reliable journey times. Data on median house prices by LSOA zone, price paid transaction data by postcode and rates of property turnover (transactions) were obtained and processed for the City of Nottingham to account for manifestations of gentrification in capital/production-based changes to the housing stock.  </w:t>
      </w:r>
    </w:p>
    <w:p w14:paraId="6685A068" w14:textId="77777777" w:rsidR="00B317A8" w:rsidRDefault="00B317A8" w:rsidP="00B317A8">
      <w:pPr>
        <w:pStyle w:val="Body"/>
      </w:pPr>
    </w:p>
    <w:p w14:paraId="2F6790D2" w14:textId="77777777" w:rsidR="00B317A8" w:rsidRPr="006746B5" w:rsidRDefault="00B317A8" w:rsidP="00B317A8">
      <w:pPr>
        <w:pStyle w:val="Body"/>
      </w:pPr>
      <w:r w:rsidRPr="006746B5">
        <w:t xml:space="preserve">There was also the need to consider more demographic aspects associated with gentrification that can be indicated through changes in the socio-economic composition reflecting the changing preferences and tastes of consumers over time </w:t>
      </w:r>
      <w:r w:rsidRPr="006746B5">
        <w:rPr>
          <w:bCs/>
        </w:rPr>
        <w:t>(Ley, 1980).</w:t>
      </w:r>
      <w:r w:rsidRPr="006746B5">
        <w:t xml:space="preserve"> Data was obtained from the census points that included the level of higher educational attainment (level 4), the proportion of higher and lower managerial occupations (NS-Sec) and the degree of owner-occupied housing (OCC). A list of all of the capital and socio-economic variab</w:t>
      </w:r>
      <w:r w:rsidR="006E1FF6">
        <w:t>les used are outlined in Table 2</w:t>
      </w:r>
      <w:r w:rsidRPr="006746B5">
        <w:t>.1 below.</w:t>
      </w:r>
      <w:r w:rsidR="00C902FE">
        <w:t xml:space="preserve"> </w:t>
      </w:r>
      <w:r w:rsidRPr="006746B5">
        <w:t xml:space="preserve">All of these datasets were obtained for each census point 2001 and 2011 allowing a value of relative or percentage change (%) to be calculated. The median house price and land-registry data was available for every consecutive year between the census dates which provided a considerable level of additional clarity to some of the shorter-term impacts of the tram and significantly changed the overall conclusions of this study. </w:t>
      </w:r>
    </w:p>
    <w:p w14:paraId="332B965E" w14:textId="77777777" w:rsidR="00B317A8" w:rsidRDefault="00B317A8" w:rsidP="00B317A8">
      <w:pPr>
        <w:pStyle w:val="Body"/>
      </w:pPr>
    </w:p>
    <w:p w14:paraId="2A3451F7" w14:textId="77777777" w:rsidR="00B317A8" w:rsidRPr="006746B5" w:rsidRDefault="00B317A8" w:rsidP="00B317A8">
      <w:pPr>
        <w:pStyle w:val="Body"/>
      </w:pPr>
      <w:r w:rsidRPr="006746B5">
        <w:t>Gentrification was determined to be occurring when the percentage growth figure for most indicators within the census zone were higher than the total percentage change figure for the wider urban area over the same period (</w:t>
      </w:r>
      <w:r w:rsidRPr="006746B5">
        <w:rPr>
          <w:bCs/>
        </w:rPr>
        <w:t>Nesbitt, 2005)</w:t>
      </w:r>
      <w:r w:rsidR="006F6DB0">
        <w:t xml:space="preserve">. </w:t>
      </w:r>
      <w:r w:rsidRPr="006746B5">
        <w:t xml:space="preserve">The full impact of light rail in regenerating deprived areas could take several years to achieve </w:t>
      </w:r>
      <w:r w:rsidRPr="006746B5">
        <w:rPr>
          <w:bCs/>
        </w:rPr>
        <w:t>(NAO, 2004)</w:t>
      </w:r>
      <w:r w:rsidRPr="006746B5">
        <w:t>. Therefore, accounting for time-based constraints was a crucial part of developing a robust methodology. Several key points in the N.E.T scheme lifecycle were covered in order to monitor changes. Through using data from the two census points, the study accounts for a time period that covers any likely land speculation that may occur in the three years prior to the scheme’s introduction as a result of land owners and property developers responding to potential future changes in demand (Hamnett, 1991; Knowles and Ferbrache, 2015). The timeframe also covers the scheme opening (2004) as well as a</w:t>
      </w:r>
      <w:r w:rsidRPr="006746B5">
        <w:rPr>
          <w:lang w:val="pt-PT"/>
        </w:rPr>
        <w:t xml:space="preserve"> continual </w:t>
      </w:r>
      <w:r w:rsidRPr="006746B5">
        <w:t xml:space="preserve">seven-year </w:t>
      </w:r>
      <w:r w:rsidRPr="006746B5">
        <w:rPr>
          <w:lang w:val="fr-FR"/>
        </w:rPr>
        <w:t>operation</w:t>
      </w:r>
      <w:r w:rsidRPr="006746B5">
        <w:t xml:space="preserve">al period up to 2011. The importance of these time-based considerations was adopted from on methodological recommendations from </w:t>
      </w:r>
      <w:r w:rsidRPr="006746B5">
        <w:rPr>
          <w:bCs/>
        </w:rPr>
        <w:t xml:space="preserve">RICS (2002) </w:t>
      </w:r>
      <w:r w:rsidRPr="006746B5">
        <w:t xml:space="preserve">and </w:t>
      </w:r>
      <w:r w:rsidRPr="006746B5">
        <w:rPr>
          <w:bCs/>
        </w:rPr>
        <w:t xml:space="preserve">NAO (2004) </w:t>
      </w:r>
      <w:r w:rsidRPr="006746B5">
        <w:t xml:space="preserve">based on analysis of the validity of results from previous empirical research. </w:t>
      </w:r>
    </w:p>
    <w:p w14:paraId="343944F3" w14:textId="77777777" w:rsidR="00B317A8" w:rsidRDefault="00B317A8" w:rsidP="00B317A8">
      <w:pPr>
        <w:pStyle w:val="NoSpacing"/>
      </w:pPr>
    </w:p>
    <w:tbl>
      <w:tblPr>
        <w:tblStyle w:val="TableGrid"/>
        <w:tblW w:w="0" w:type="auto"/>
        <w:tblInd w:w="-5" w:type="dxa"/>
        <w:tblLook w:val="04A0" w:firstRow="1" w:lastRow="0" w:firstColumn="1" w:lastColumn="0" w:noHBand="0" w:noVBand="1"/>
      </w:tblPr>
      <w:tblGrid>
        <w:gridCol w:w="5138"/>
        <w:gridCol w:w="2392"/>
      </w:tblGrid>
      <w:tr w:rsidR="00B317A8" w14:paraId="7488413E" w14:textId="77777777" w:rsidTr="006F6DB0">
        <w:trPr>
          <w:trHeight w:val="309"/>
        </w:trPr>
        <w:tc>
          <w:tcPr>
            <w:tcW w:w="5138" w:type="dxa"/>
            <w:shd w:val="clear" w:color="auto" w:fill="323F4F"/>
          </w:tcPr>
          <w:p w14:paraId="1416FE6A" w14:textId="77777777" w:rsidR="00B317A8" w:rsidRPr="00B317A8" w:rsidRDefault="00B317A8" w:rsidP="00846313">
            <w:pPr>
              <w:pStyle w:val="Body"/>
              <w:rPr>
                <w:rFonts w:asciiTheme="minorHAnsi" w:hAnsiTheme="minorHAnsi"/>
                <w:color w:val="FFFFFF" w:themeColor="background1"/>
                <w:sz w:val="20"/>
                <w:szCs w:val="20"/>
              </w:rPr>
            </w:pPr>
            <w:r w:rsidRPr="00B317A8">
              <w:rPr>
                <w:rFonts w:asciiTheme="minorHAnsi" w:hAnsiTheme="minorHAnsi"/>
                <w:color w:val="FFFFFF" w:themeColor="background1"/>
                <w:sz w:val="20"/>
                <w:szCs w:val="20"/>
              </w:rPr>
              <w:t>Variable</w:t>
            </w:r>
          </w:p>
        </w:tc>
        <w:tc>
          <w:tcPr>
            <w:tcW w:w="2392" w:type="dxa"/>
            <w:shd w:val="clear" w:color="auto" w:fill="323F4F"/>
          </w:tcPr>
          <w:p w14:paraId="512ADDB5" w14:textId="77777777" w:rsidR="00B317A8" w:rsidRPr="00B317A8" w:rsidRDefault="00B317A8" w:rsidP="00846313">
            <w:pPr>
              <w:pStyle w:val="Body"/>
              <w:rPr>
                <w:rFonts w:asciiTheme="minorHAnsi" w:hAnsiTheme="minorHAnsi"/>
                <w:color w:val="FFFFFF" w:themeColor="background1"/>
                <w:sz w:val="20"/>
                <w:szCs w:val="20"/>
              </w:rPr>
            </w:pPr>
            <w:r w:rsidRPr="00B317A8">
              <w:rPr>
                <w:rFonts w:asciiTheme="minorHAnsi" w:hAnsiTheme="minorHAnsi"/>
                <w:color w:val="FFFFFF" w:themeColor="background1"/>
                <w:sz w:val="20"/>
                <w:szCs w:val="20"/>
              </w:rPr>
              <w:t>Literature</w:t>
            </w:r>
          </w:p>
        </w:tc>
      </w:tr>
      <w:tr w:rsidR="00B317A8" w14:paraId="58C7A4EB" w14:textId="77777777" w:rsidTr="006F6DB0">
        <w:trPr>
          <w:trHeight w:val="106"/>
        </w:trPr>
        <w:tc>
          <w:tcPr>
            <w:tcW w:w="5138" w:type="dxa"/>
            <w:shd w:val="clear" w:color="auto" w:fill="323F4F"/>
          </w:tcPr>
          <w:p w14:paraId="2A3BD538" w14:textId="77777777" w:rsidR="00B317A8" w:rsidRPr="00B317A8" w:rsidRDefault="00B317A8" w:rsidP="00846313">
            <w:pPr>
              <w:pStyle w:val="Body"/>
              <w:rPr>
                <w:rFonts w:asciiTheme="minorHAnsi" w:hAnsiTheme="minorHAnsi"/>
                <w:color w:val="FFFFFF" w:themeColor="background1"/>
                <w:sz w:val="20"/>
                <w:szCs w:val="20"/>
              </w:rPr>
            </w:pPr>
            <w:r w:rsidRPr="00B317A8">
              <w:rPr>
                <w:rFonts w:asciiTheme="minorHAnsi" w:hAnsiTheme="minorHAnsi"/>
                <w:color w:val="FFFFFF" w:themeColor="background1"/>
                <w:sz w:val="20"/>
                <w:szCs w:val="20"/>
              </w:rPr>
              <w:t>Physical/Infrastructural</w:t>
            </w:r>
          </w:p>
        </w:tc>
        <w:tc>
          <w:tcPr>
            <w:tcW w:w="2392" w:type="dxa"/>
            <w:shd w:val="clear" w:color="auto" w:fill="323F4F"/>
          </w:tcPr>
          <w:p w14:paraId="546F9C2F" w14:textId="77777777" w:rsidR="00B317A8" w:rsidRPr="00B317A8" w:rsidRDefault="00B317A8" w:rsidP="00846313">
            <w:pPr>
              <w:pStyle w:val="Body"/>
              <w:rPr>
                <w:rFonts w:asciiTheme="minorHAnsi" w:hAnsiTheme="minorHAnsi"/>
                <w:color w:val="FFFFFF" w:themeColor="background1"/>
                <w:sz w:val="20"/>
                <w:szCs w:val="20"/>
              </w:rPr>
            </w:pPr>
          </w:p>
        </w:tc>
      </w:tr>
      <w:tr w:rsidR="00B317A8" w14:paraId="54BF864F" w14:textId="77777777" w:rsidTr="006F6DB0">
        <w:trPr>
          <w:trHeight w:val="269"/>
        </w:trPr>
        <w:tc>
          <w:tcPr>
            <w:tcW w:w="5138" w:type="dxa"/>
          </w:tcPr>
          <w:p w14:paraId="7E0EB025"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Empirical observations of shop units/new developments</w:t>
            </w:r>
          </w:p>
        </w:tc>
        <w:tc>
          <w:tcPr>
            <w:tcW w:w="2392" w:type="dxa"/>
          </w:tcPr>
          <w:p w14:paraId="14888769"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Hammel (1996)</w:t>
            </w:r>
          </w:p>
        </w:tc>
      </w:tr>
      <w:tr w:rsidR="00B317A8" w14:paraId="1D44B857" w14:textId="77777777" w:rsidTr="006F6DB0">
        <w:trPr>
          <w:trHeight w:val="269"/>
        </w:trPr>
        <w:tc>
          <w:tcPr>
            <w:tcW w:w="5138" w:type="dxa"/>
            <w:shd w:val="clear" w:color="auto" w:fill="323F4F"/>
          </w:tcPr>
          <w:p w14:paraId="52906342" w14:textId="77777777" w:rsidR="00B317A8" w:rsidRPr="00B317A8" w:rsidRDefault="00B317A8" w:rsidP="00846313">
            <w:pPr>
              <w:pStyle w:val="Body"/>
              <w:rPr>
                <w:rFonts w:asciiTheme="minorHAnsi" w:hAnsiTheme="minorHAnsi"/>
                <w:color w:val="FFFFFF" w:themeColor="background1"/>
                <w:sz w:val="20"/>
                <w:szCs w:val="20"/>
              </w:rPr>
            </w:pPr>
            <w:r w:rsidRPr="00B317A8">
              <w:rPr>
                <w:rFonts w:asciiTheme="minorHAnsi" w:hAnsiTheme="minorHAnsi"/>
                <w:color w:val="FFFFFF" w:themeColor="background1"/>
                <w:sz w:val="20"/>
                <w:szCs w:val="20"/>
              </w:rPr>
              <w:t>Capital</w:t>
            </w:r>
          </w:p>
        </w:tc>
        <w:tc>
          <w:tcPr>
            <w:tcW w:w="2392" w:type="dxa"/>
            <w:shd w:val="clear" w:color="auto" w:fill="323F4F"/>
          </w:tcPr>
          <w:p w14:paraId="083CBDA9" w14:textId="77777777" w:rsidR="00B317A8" w:rsidRPr="00B317A8" w:rsidRDefault="00B317A8" w:rsidP="00846313">
            <w:pPr>
              <w:pStyle w:val="Body"/>
              <w:rPr>
                <w:rFonts w:asciiTheme="minorHAnsi" w:hAnsiTheme="minorHAnsi"/>
                <w:color w:val="FFFFFF" w:themeColor="background1"/>
                <w:sz w:val="20"/>
                <w:szCs w:val="20"/>
              </w:rPr>
            </w:pPr>
          </w:p>
        </w:tc>
      </w:tr>
      <w:tr w:rsidR="00B317A8" w14:paraId="6F674A04" w14:textId="77777777" w:rsidTr="006F6DB0">
        <w:trPr>
          <w:trHeight w:val="106"/>
        </w:trPr>
        <w:tc>
          <w:tcPr>
            <w:tcW w:w="5138" w:type="dxa"/>
          </w:tcPr>
          <w:p w14:paraId="7060A111"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Changes in land values and house prices</w:t>
            </w:r>
          </w:p>
        </w:tc>
        <w:tc>
          <w:tcPr>
            <w:tcW w:w="2392" w:type="dxa"/>
          </w:tcPr>
          <w:p w14:paraId="4610039C"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Smith (1979)</w:t>
            </w:r>
          </w:p>
        </w:tc>
      </w:tr>
      <w:tr w:rsidR="00B317A8" w14:paraId="440F96A0" w14:textId="77777777" w:rsidTr="006F6DB0">
        <w:trPr>
          <w:trHeight w:val="106"/>
        </w:trPr>
        <w:tc>
          <w:tcPr>
            <w:tcW w:w="5138" w:type="dxa"/>
          </w:tcPr>
          <w:p w14:paraId="688F6D31"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Rates of property turnover</w:t>
            </w:r>
          </w:p>
        </w:tc>
        <w:tc>
          <w:tcPr>
            <w:tcW w:w="2392" w:type="dxa"/>
          </w:tcPr>
          <w:p w14:paraId="615CE6D0"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Smith (1979)</w:t>
            </w:r>
          </w:p>
        </w:tc>
      </w:tr>
      <w:tr w:rsidR="00B317A8" w14:paraId="355A0D55" w14:textId="77777777" w:rsidTr="006F6DB0">
        <w:trPr>
          <w:trHeight w:val="291"/>
        </w:trPr>
        <w:tc>
          <w:tcPr>
            <w:tcW w:w="5138" w:type="dxa"/>
            <w:shd w:val="clear" w:color="auto" w:fill="323F4F"/>
          </w:tcPr>
          <w:p w14:paraId="25124288" w14:textId="77777777" w:rsidR="00B317A8" w:rsidRPr="00B317A8" w:rsidRDefault="00B317A8" w:rsidP="00846313">
            <w:pPr>
              <w:pStyle w:val="Body"/>
              <w:rPr>
                <w:rFonts w:asciiTheme="minorHAnsi" w:hAnsiTheme="minorHAnsi"/>
                <w:color w:val="FFFFFF" w:themeColor="background1"/>
                <w:sz w:val="20"/>
                <w:szCs w:val="20"/>
              </w:rPr>
            </w:pPr>
            <w:r w:rsidRPr="00B317A8">
              <w:rPr>
                <w:rFonts w:asciiTheme="minorHAnsi" w:hAnsiTheme="minorHAnsi"/>
                <w:color w:val="FFFFFF" w:themeColor="background1"/>
                <w:sz w:val="20"/>
                <w:szCs w:val="20"/>
              </w:rPr>
              <w:t>Socio-Economic</w:t>
            </w:r>
          </w:p>
        </w:tc>
        <w:tc>
          <w:tcPr>
            <w:tcW w:w="2392" w:type="dxa"/>
            <w:shd w:val="clear" w:color="auto" w:fill="323F4F"/>
          </w:tcPr>
          <w:p w14:paraId="488F1D0B" w14:textId="77777777" w:rsidR="00B317A8" w:rsidRPr="00B317A8" w:rsidRDefault="00B317A8" w:rsidP="00846313">
            <w:pPr>
              <w:pStyle w:val="Body"/>
              <w:rPr>
                <w:rFonts w:asciiTheme="minorHAnsi" w:hAnsiTheme="minorHAnsi"/>
                <w:color w:val="FFFFFF" w:themeColor="background1"/>
                <w:sz w:val="20"/>
                <w:szCs w:val="20"/>
              </w:rPr>
            </w:pPr>
          </w:p>
        </w:tc>
      </w:tr>
      <w:tr w:rsidR="00B317A8" w14:paraId="4E1B63F2" w14:textId="77777777" w:rsidTr="006F6DB0">
        <w:trPr>
          <w:trHeight w:val="269"/>
        </w:trPr>
        <w:tc>
          <w:tcPr>
            <w:tcW w:w="5138" w:type="dxa"/>
          </w:tcPr>
          <w:p w14:paraId="5ABE43A7"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Educational Attainment (Level 4)</w:t>
            </w:r>
          </w:p>
        </w:tc>
        <w:tc>
          <w:tcPr>
            <w:tcW w:w="2392" w:type="dxa"/>
          </w:tcPr>
          <w:p w14:paraId="50364C56"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Freeman (2005)</w:t>
            </w:r>
          </w:p>
        </w:tc>
      </w:tr>
      <w:tr w:rsidR="00B317A8" w14:paraId="00D6CE6A" w14:textId="77777777" w:rsidTr="006F6DB0">
        <w:trPr>
          <w:trHeight w:val="106"/>
        </w:trPr>
        <w:tc>
          <w:tcPr>
            <w:tcW w:w="5138" w:type="dxa"/>
          </w:tcPr>
          <w:p w14:paraId="0BD6198D"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Owner-Occupied Housing</w:t>
            </w:r>
          </w:p>
        </w:tc>
        <w:tc>
          <w:tcPr>
            <w:tcW w:w="2392" w:type="dxa"/>
          </w:tcPr>
          <w:p w14:paraId="2F9EF982"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Freeman (2005)</w:t>
            </w:r>
          </w:p>
        </w:tc>
      </w:tr>
      <w:tr w:rsidR="00B317A8" w14:paraId="3F89AD28" w14:textId="77777777" w:rsidTr="006F6DB0">
        <w:trPr>
          <w:trHeight w:val="347"/>
        </w:trPr>
        <w:tc>
          <w:tcPr>
            <w:tcW w:w="5138" w:type="dxa"/>
          </w:tcPr>
          <w:p w14:paraId="4BB97859" w14:textId="77777777" w:rsidR="00B317A8" w:rsidRPr="00B317A8" w:rsidRDefault="00B317A8" w:rsidP="00846313">
            <w:pPr>
              <w:pStyle w:val="Body"/>
              <w:rPr>
                <w:rFonts w:asciiTheme="minorHAnsi" w:hAnsiTheme="minorHAnsi"/>
                <w:sz w:val="20"/>
                <w:szCs w:val="20"/>
              </w:rPr>
            </w:pPr>
            <w:r w:rsidRPr="00B317A8">
              <w:rPr>
                <w:rFonts w:asciiTheme="minorHAnsi" w:hAnsiTheme="minorHAnsi"/>
                <w:sz w:val="20"/>
                <w:szCs w:val="20"/>
              </w:rPr>
              <w:t>Higher/Lower Managerial Occupations</w:t>
            </w:r>
          </w:p>
        </w:tc>
        <w:tc>
          <w:tcPr>
            <w:tcW w:w="2392" w:type="dxa"/>
          </w:tcPr>
          <w:p w14:paraId="254ABEE2" w14:textId="77777777" w:rsidR="00B317A8" w:rsidRPr="00B317A8" w:rsidRDefault="00B317A8" w:rsidP="00B317A8">
            <w:pPr>
              <w:pStyle w:val="Body"/>
              <w:keepNext/>
              <w:rPr>
                <w:rFonts w:asciiTheme="minorHAnsi" w:hAnsiTheme="minorHAnsi"/>
                <w:sz w:val="20"/>
                <w:szCs w:val="20"/>
              </w:rPr>
            </w:pPr>
            <w:r w:rsidRPr="00B317A8">
              <w:rPr>
                <w:rFonts w:asciiTheme="minorHAnsi" w:hAnsiTheme="minorHAnsi"/>
                <w:sz w:val="20"/>
                <w:szCs w:val="20"/>
              </w:rPr>
              <w:t>Freeman (2005)</w:t>
            </w:r>
          </w:p>
        </w:tc>
      </w:tr>
    </w:tbl>
    <w:p w14:paraId="1FC4B532" w14:textId="77777777" w:rsidR="00B317A8" w:rsidRPr="00B317A8" w:rsidRDefault="00B317A8" w:rsidP="00050F11">
      <w:pPr>
        <w:pStyle w:val="Caption"/>
      </w:pPr>
      <w:r>
        <w:t xml:space="preserve">Table </w:t>
      </w:r>
      <w:fldSimple w:instr=" STYLEREF 1 \s ">
        <w:r w:rsidR="006E1FF6">
          <w:rPr>
            <w:noProof/>
          </w:rPr>
          <w:t>2</w:t>
        </w:r>
      </w:fldSimple>
      <w:r w:rsidR="000B67B1">
        <w:t>.</w:t>
      </w:r>
      <w:fldSimple w:instr=" SEQ Table \* ARABIC \s 1 ">
        <w:r w:rsidR="000B67B1">
          <w:rPr>
            <w:noProof/>
          </w:rPr>
          <w:t>1</w:t>
        </w:r>
      </w:fldSimple>
      <w:r>
        <w:t xml:space="preserve"> – </w:t>
      </w:r>
      <w:r w:rsidRPr="008E4BB6">
        <w:rPr>
          <w:b w:val="0"/>
        </w:rPr>
        <w:t>Study Gentrification Indicators</w:t>
      </w:r>
    </w:p>
    <w:p w14:paraId="5867F496" w14:textId="77777777" w:rsidR="00050F11" w:rsidRDefault="00050F11" w:rsidP="00050F11"/>
    <w:p w14:paraId="271F0BE4" w14:textId="77777777" w:rsidR="00B317A8" w:rsidRPr="008E4BB6" w:rsidRDefault="00B317A8" w:rsidP="00567EF1">
      <w:pPr>
        <w:pStyle w:val="Heading2"/>
      </w:pPr>
      <w:r w:rsidRPr="008E4BB6">
        <w:t xml:space="preserve">Devising a Suitable Control Area </w:t>
      </w:r>
    </w:p>
    <w:p w14:paraId="6D17E4CB" w14:textId="77777777" w:rsidR="00B317A8" w:rsidRPr="00B317A8" w:rsidRDefault="00B317A8" w:rsidP="00B317A8">
      <w:pPr>
        <w:pStyle w:val="Body"/>
      </w:pPr>
      <w:r w:rsidRPr="00B317A8">
        <w:t>This study adopted a comparative methodology using spatial buffer analysis within GIS software allowing data obtaining to land use to be easily captured within relative walking accessibility of both the LRT corridor, and the devised control corridor. The method was adopted following recommendations from a recent report by UKTram that highlighted how future impact studies could devise similar control areas to isolate light rail’s impacts from other factors and temporal trends (Knowles and Ferbrache, 2015; Du and Mulley, 2007).</w:t>
      </w:r>
      <w:r w:rsidR="00A37617">
        <w:t xml:space="preserve"> </w:t>
      </w:r>
      <w:r w:rsidRPr="00B317A8">
        <w:t>In order to devise a suitable control area, it was necessary to select a corridor that had a similar proportion of what were deemed as: ‘gentrification attractors’ as a means of controlling for differing degrees of susceptibility of areas to gentrify (Chapple, 2009; Nesbitt, 2005; Freeman, 2005). This allows the methodology to better ‘control’ for the existence of light-rail establishing the transport mode operating along each corridor as the only potentially ‘attractor’ variable that is different. In order to quickly and efficiently compare the similarities between potential control corridors in the city, a small test</w:t>
      </w:r>
      <w:r w:rsidR="00A37617">
        <w:t>ing model was built within GIS.</w:t>
      </w:r>
      <w:r w:rsidRPr="00B317A8">
        <w:t xml:space="preserve"> </w:t>
      </w:r>
    </w:p>
    <w:p w14:paraId="48B13E13" w14:textId="77777777" w:rsidR="00B317A8" w:rsidRPr="00B317A8" w:rsidRDefault="00B317A8" w:rsidP="00B317A8">
      <w:pPr>
        <w:pStyle w:val="Body"/>
      </w:pPr>
    </w:p>
    <w:p w14:paraId="52A74255" w14:textId="77777777" w:rsidR="00F440DF" w:rsidRDefault="00B317A8" w:rsidP="00B317A8">
      <w:pPr>
        <w:pStyle w:val="Body"/>
      </w:pPr>
      <w:r w:rsidRPr="00B317A8">
        <w:t>There were several key area attractors that were identified from the literature and</w:t>
      </w:r>
      <w:r w:rsidR="00A37617">
        <w:t xml:space="preserve"> have been summ</w:t>
      </w:r>
      <w:r w:rsidR="006E1FF6">
        <w:t>arised in Table 2</w:t>
      </w:r>
      <w:r w:rsidRPr="00B317A8">
        <w:t xml:space="preserve">.2 along with the method used to account for them. These included the historical characteristics of an area which often found to make neighborhoods more attractive to potential gentrifiers (Nesbitt, 2005). The proximity to the city centre which links into classic gentrification theories of accessibility (bid rent theory) (Ley, 1980; Smith, 1979) and how gentrifiers have greater demand to be closer to cultural events and locations of jobs and other amenities in the city centre. The location to proximity to transport corridor acts as the control variable in this case, where each corridor will have suitable degree of transport provision (including proximity to major road corridors) with the only difference being that of the mode that is operated (LRT vs Bus). Finally, the proximity to schools (catchment areas) and healthcare services also helps to increase the attractiveness of an area as individuals value the greater proximity to these facilities, often making their use easier. Although less of a factor, previous research has found that proximity to green open space is also directly correlated with the likely demand for housing (Luttik, 2000). </w:t>
      </w:r>
    </w:p>
    <w:p w14:paraId="75A89223" w14:textId="77777777" w:rsidR="00B317A8" w:rsidRPr="00B317A8" w:rsidRDefault="00F440DF" w:rsidP="00567EF1">
      <w:r>
        <w:br w:type="page"/>
      </w:r>
    </w:p>
    <w:tbl>
      <w:tblPr>
        <w:tblW w:w="81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1521"/>
        <w:gridCol w:w="4788"/>
        <w:gridCol w:w="1879"/>
      </w:tblGrid>
      <w:tr w:rsidR="00B317A8" w14:paraId="2062E2D2" w14:textId="77777777" w:rsidTr="00567EF1">
        <w:trPr>
          <w:trHeight w:val="52"/>
        </w:trPr>
        <w:tc>
          <w:tcPr>
            <w:tcW w:w="1521" w:type="dxa"/>
            <w:shd w:val="clear" w:color="auto" w:fill="323F4F"/>
            <w:tcMar>
              <w:top w:w="80" w:type="dxa"/>
              <w:left w:w="80" w:type="dxa"/>
              <w:bottom w:w="80" w:type="dxa"/>
              <w:right w:w="80" w:type="dxa"/>
            </w:tcMar>
          </w:tcPr>
          <w:p w14:paraId="5EFB520F" w14:textId="77777777" w:rsidR="00B317A8" w:rsidRPr="00F440DF" w:rsidRDefault="00B317A8" w:rsidP="00F440DF">
            <w:pPr>
              <w:rPr>
                <w:color w:val="FFFFFF" w:themeColor="background1"/>
                <w:sz w:val="20"/>
              </w:rPr>
            </w:pPr>
            <w:r w:rsidRPr="00F440DF">
              <w:rPr>
                <w:color w:val="FFFFFF" w:themeColor="background1"/>
                <w:sz w:val="20"/>
              </w:rPr>
              <w:t>Variable</w:t>
            </w:r>
          </w:p>
        </w:tc>
        <w:tc>
          <w:tcPr>
            <w:tcW w:w="4788" w:type="dxa"/>
            <w:shd w:val="clear" w:color="auto" w:fill="323F4F"/>
          </w:tcPr>
          <w:p w14:paraId="6A87E156" w14:textId="77777777" w:rsidR="00B317A8" w:rsidRPr="00F440DF" w:rsidRDefault="00B317A8" w:rsidP="00F440DF">
            <w:pPr>
              <w:rPr>
                <w:color w:val="FFFFFF" w:themeColor="background1"/>
                <w:sz w:val="20"/>
              </w:rPr>
            </w:pPr>
            <w:r w:rsidRPr="00F440DF">
              <w:rPr>
                <w:color w:val="FFFFFF" w:themeColor="background1"/>
                <w:sz w:val="20"/>
              </w:rPr>
              <w:t>Method used</w:t>
            </w:r>
          </w:p>
        </w:tc>
        <w:tc>
          <w:tcPr>
            <w:tcW w:w="1879" w:type="dxa"/>
            <w:shd w:val="clear" w:color="auto" w:fill="323F4F"/>
            <w:tcMar>
              <w:top w:w="80" w:type="dxa"/>
              <w:left w:w="80" w:type="dxa"/>
              <w:bottom w:w="80" w:type="dxa"/>
              <w:right w:w="80" w:type="dxa"/>
            </w:tcMar>
          </w:tcPr>
          <w:p w14:paraId="79DCA2EA" w14:textId="77777777" w:rsidR="00B317A8" w:rsidRPr="00F440DF" w:rsidRDefault="00B317A8" w:rsidP="00F440DF">
            <w:pPr>
              <w:rPr>
                <w:color w:val="FFFFFF" w:themeColor="background1"/>
                <w:sz w:val="20"/>
              </w:rPr>
            </w:pPr>
            <w:r w:rsidRPr="00F440DF">
              <w:rPr>
                <w:color w:val="FFFFFF" w:themeColor="background1"/>
                <w:sz w:val="20"/>
              </w:rPr>
              <w:t>Literature</w:t>
            </w:r>
          </w:p>
        </w:tc>
      </w:tr>
      <w:tr w:rsidR="00B317A8" w14:paraId="0C6726AA" w14:textId="77777777" w:rsidTr="00567EF1">
        <w:trPr>
          <w:trHeight w:val="210"/>
        </w:trPr>
        <w:tc>
          <w:tcPr>
            <w:tcW w:w="1521" w:type="dxa"/>
            <w:tcBorders>
              <w:bottom w:val="single" w:sz="4" w:space="0" w:color="auto"/>
            </w:tcBorders>
            <w:shd w:val="clear" w:color="auto" w:fill="auto"/>
            <w:tcMar>
              <w:top w:w="80" w:type="dxa"/>
              <w:left w:w="80" w:type="dxa"/>
              <w:bottom w:w="80" w:type="dxa"/>
              <w:right w:w="80" w:type="dxa"/>
            </w:tcMar>
          </w:tcPr>
          <w:p w14:paraId="0CA456DA" w14:textId="77777777" w:rsidR="00B317A8" w:rsidRPr="00F440DF" w:rsidRDefault="00B317A8" w:rsidP="00F440DF">
            <w:pPr>
              <w:rPr>
                <w:sz w:val="20"/>
              </w:rPr>
            </w:pPr>
            <w:r w:rsidRPr="00F440DF">
              <w:rPr>
                <w:sz w:val="20"/>
              </w:rPr>
              <w:t>Historical Value</w:t>
            </w:r>
          </w:p>
        </w:tc>
        <w:tc>
          <w:tcPr>
            <w:tcW w:w="4788" w:type="dxa"/>
            <w:tcBorders>
              <w:bottom w:val="single" w:sz="4" w:space="0" w:color="auto"/>
            </w:tcBorders>
          </w:tcPr>
          <w:p w14:paraId="17A4A464" w14:textId="77777777" w:rsidR="00B317A8" w:rsidRPr="00F440DF" w:rsidRDefault="00B317A8" w:rsidP="00F440DF">
            <w:pPr>
              <w:rPr>
                <w:sz w:val="20"/>
              </w:rPr>
            </w:pPr>
            <w:r w:rsidRPr="00F440DF">
              <w:rPr>
                <w:sz w:val="20"/>
              </w:rPr>
              <w:t>Spatial buffer to measure the average % of housing built pre 1950 in each corridor.</w:t>
            </w:r>
          </w:p>
        </w:tc>
        <w:tc>
          <w:tcPr>
            <w:tcW w:w="1879" w:type="dxa"/>
            <w:tcBorders>
              <w:bottom w:val="single" w:sz="4" w:space="0" w:color="auto"/>
            </w:tcBorders>
            <w:shd w:val="clear" w:color="auto" w:fill="auto"/>
            <w:tcMar>
              <w:top w:w="80" w:type="dxa"/>
              <w:left w:w="80" w:type="dxa"/>
              <w:bottom w:w="80" w:type="dxa"/>
              <w:right w:w="80" w:type="dxa"/>
            </w:tcMar>
          </w:tcPr>
          <w:p w14:paraId="224356D6" w14:textId="77777777" w:rsidR="00B317A8" w:rsidRPr="00F440DF" w:rsidRDefault="00B317A8" w:rsidP="00F440DF">
            <w:pPr>
              <w:rPr>
                <w:i/>
                <w:sz w:val="20"/>
              </w:rPr>
            </w:pPr>
            <w:r w:rsidRPr="00F440DF">
              <w:rPr>
                <w:i/>
                <w:sz w:val="20"/>
              </w:rPr>
              <w:t>Nesbitt, 2005</w:t>
            </w:r>
          </w:p>
        </w:tc>
      </w:tr>
      <w:tr w:rsidR="00B317A8" w14:paraId="34ED24B2" w14:textId="77777777" w:rsidTr="00567EF1">
        <w:trPr>
          <w:trHeight w:val="442"/>
        </w:trPr>
        <w:tc>
          <w:tcPr>
            <w:tcW w:w="1521" w:type="dxa"/>
            <w:tcBorders>
              <w:bottom w:val="single" w:sz="4" w:space="0" w:color="auto"/>
            </w:tcBorders>
            <w:shd w:val="clear" w:color="auto" w:fill="auto"/>
            <w:tcMar>
              <w:top w:w="80" w:type="dxa"/>
              <w:left w:w="80" w:type="dxa"/>
              <w:bottom w:w="80" w:type="dxa"/>
              <w:right w:w="80" w:type="dxa"/>
            </w:tcMar>
          </w:tcPr>
          <w:p w14:paraId="6C42EFD8" w14:textId="77777777" w:rsidR="00B317A8" w:rsidRPr="00F440DF" w:rsidRDefault="00B317A8" w:rsidP="00F440DF">
            <w:pPr>
              <w:rPr>
                <w:sz w:val="20"/>
              </w:rPr>
            </w:pPr>
            <w:r w:rsidRPr="00F440DF">
              <w:rPr>
                <w:sz w:val="20"/>
              </w:rPr>
              <w:t>Proximity to the City Centre</w:t>
            </w:r>
          </w:p>
        </w:tc>
        <w:tc>
          <w:tcPr>
            <w:tcW w:w="4788" w:type="dxa"/>
            <w:tcBorders>
              <w:bottom w:val="single" w:sz="4" w:space="0" w:color="auto"/>
            </w:tcBorders>
          </w:tcPr>
          <w:p w14:paraId="5EF81220" w14:textId="77777777" w:rsidR="00B317A8" w:rsidRPr="00F440DF" w:rsidRDefault="00B317A8" w:rsidP="00F440DF">
            <w:pPr>
              <w:rPr>
                <w:sz w:val="20"/>
              </w:rPr>
            </w:pPr>
            <w:r w:rsidRPr="00F440DF">
              <w:rPr>
                <w:sz w:val="20"/>
              </w:rPr>
              <w:t>The route length of the N.E.T corridor and the control corridor are of similar length and both originate from the same point in relation to the city centre</w:t>
            </w:r>
          </w:p>
        </w:tc>
        <w:tc>
          <w:tcPr>
            <w:tcW w:w="1879" w:type="dxa"/>
            <w:tcBorders>
              <w:bottom w:val="single" w:sz="4" w:space="0" w:color="auto"/>
            </w:tcBorders>
            <w:shd w:val="clear" w:color="auto" w:fill="auto"/>
            <w:tcMar>
              <w:top w:w="80" w:type="dxa"/>
              <w:left w:w="80" w:type="dxa"/>
              <w:bottom w:w="80" w:type="dxa"/>
              <w:right w:w="80" w:type="dxa"/>
            </w:tcMar>
          </w:tcPr>
          <w:p w14:paraId="6DDC3BC0" w14:textId="77777777" w:rsidR="00B317A8" w:rsidRPr="00F440DF" w:rsidRDefault="00B317A8" w:rsidP="00F440DF">
            <w:pPr>
              <w:rPr>
                <w:i/>
                <w:sz w:val="20"/>
              </w:rPr>
            </w:pPr>
            <w:r w:rsidRPr="00F440DF">
              <w:rPr>
                <w:i/>
                <w:sz w:val="20"/>
              </w:rPr>
              <w:t>Nesbitt, 2005; Smith, 1979; Ley, 1980</w:t>
            </w:r>
          </w:p>
        </w:tc>
      </w:tr>
      <w:tr w:rsidR="00B317A8" w14:paraId="270CC73C" w14:textId="77777777" w:rsidTr="00567EF1">
        <w:trPr>
          <w:trHeight w:val="240"/>
        </w:trPr>
        <w:tc>
          <w:tcPr>
            <w:tcW w:w="1521" w:type="dxa"/>
            <w:tcBorders>
              <w:top w:val="single" w:sz="4" w:space="0" w:color="auto"/>
            </w:tcBorders>
            <w:shd w:val="clear" w:color="auto" w:fill="FFF2CC"/>
            <w:tcMar>
              <w:top w:w="80" w:type="dxa"/>
              <w:left w:w="80" w:type="dxa"/>
              <w:bottom w:w="80" w:type="dxa"/>
              <w:right w:w="80" w:type="dxa"/>
            </w:tcMar>
          </w:tcPr>
          <w:p w14:paraId="08A58288" w14:textId="77777777" w:rsidR="00B317A8" w:rsidRPr="00F440DF" w:rsidRDefault="00B317A8" w:rsidP="00F440DF">
            <w:pPr>
              <w:rPr>
                <w:sz w:val="20"/>
              </w:rPr>
            </w:pPr>
            <w:r w:rsidRPr="00F440DF">
              <w:rPr>
                <w:sz w:val="20"/>
              </w:rPr>
              <w:t>Control Variable: Transport Accessibility</w:t>
            </w:r>
          </w:p>
        </w:tc>
        <w:tc>
          <w:tcPr>
            <w:tcW w:w="4788" w:type="dxa"/>
            <w:tcBorders>
              <w:top w:val="single" w:sz="4" w:space="0" w:color="auto"/>
            </w:tcBorders>
            <w:shd w:val="clear" w:color="auto" w:fill="FFF2CC"/>
          </w:tcPr>
          <w:p w14:paraId="508D41EB" w14:textId="77777777" w:rsidR="00B317A8" w:rsidRPr="00F440DF" w:rsidRDefault="00B317A8" w:rsidP="00F440DF">
            <w:pPr>
              <w:rPr>
                <w:sz w:val="20"/>
              </w:rPr>
            </w:pPr>
            <w:r w:rsidRPr="00F440DF">
              <w:rPr>
                <w:sz w:val="20"/>
              </w:rPr>
              <w:t>Focal point of the study. N.E.T corridor is dominated by light-rail, while the other is a conventional bus route operating at a similar frequency</w:t>
            </w:r>
          </w:p>
        </w:tc>
        <w:tc>
          <w:tcPr>
            <w:tcW w:w="1879" w:type="dxa"/>
            <w:tcBorders>
              <w:top w:val="single" w:sz="4" w:space="0" w:color="auto"/>
            </w:tcBorders>
            <w:shd w:val="clear" w:color="auto" w:fill="FFF2CC"/>
            <w:tcMar>
              <w:top w:w="80" w:type="dxa"/>
              <w:left w:w="80" w:type="dxa"/>
              <w:bottom w:w="80" w:type="dxa"/>
              <w:right w:w="80" w:type="dxa"/>
            </w:tcMar>
          </w:tcPr>
          <w:p w14:paraId="5626BC25" w14:textId="77777777" w:rsidR="00B317A8" w:rsidRPr="00F440DF" w:rsidRDefault="00B317A8" w:rsidP="00F440DF">
            <w:pPr>
              <w:rPr>
                <w:i/>
                <w:sz w:val="20"/>
              </w:rPr>
            </w:pPr>
            <w:r w:rsidRPr="00F440DF">
              <w:rPr>
                <w:i/>
                <w:sz w:val="20"/>
              </w:rPr>
              <w:t>Nesbitt, 2005</w:t>
            </w:r>
          </w:p>
        </w:tc>
      </w:tr>
      <w:tr w:rsidR="00B317A8" w14:paraId="401B8198" w14:textId="77777777" w:rsidTr="00567EF1">
        <w:trPr>
          <w:trHeight w:val="105"/>
        </w:trPr>
        <w:tc>
          <w:tcPr>
            <w:tcW w:w="1521" w:type="dxa"/>
            <w:tcBorders>
              <w:bottom w:val="single" w:sz="4" w:space="0" w:color="auto"/>
            </w:tcBorders>
            <w:shd w:val="clear" w:color="auto" w:fill="auto"/>
            <w:tcMar>
              <w:top w:w="80" w:type="dxa"/>
              <w:left w:w="80" w:type="dxa"/>
              <w:bottom w:w="80" w:type="dxa"/>
              <w:right w:w="80" w:type="dxa"/>
            </w:tcMar>
          </w:tcPr>
          <w:p w14:paraId="304422F0" w14:textId="77777777" w:rsidR="00B317A8" w:rsidRPr="00F440DF" w:rsidRDefault="00B317A8" w:rsidP="00F440DF">
            <w:pPr>
              <w:rPr>
                <w:sz w:val="20"/>
              </w:rPr>
            </w:pPr>
            <w:r w:rsidRPr="00F440DF">
              <w:rPr>
                <w:sz w:val="20"/>
              </w:rPr>
              <w:t>Proximity to other facilities</w:t>
            </w:r>
          </w:p>
        </w:tc>
        <w:tc>
          <w:tcPr>
            <w:tcW w:w="4788" w:type="dxa"/>
            <w:tcBorders>
              <w:bottom w:val="single" w:sz="4" w:space="0" w:color="auto"/>
            </w:tcBorders>
          </w:tcPr>
          <w:p w14:paraId="40FD185F" w14:textId="77777777" w:rsidR="00B317A8" w:rsidRPr="00F440DF" w:rsidRDefault="00B317A8" w:rsidP="00F440DF">
            <w:pPr>
              <w:rPr>
                <w:sz w:val="20"/>
              </w:rPr>
            </w:pPr>
            <w:r w:rsidRPr="00F440DF">
              <w:rPr>
                <w:sz w:val="20"/>
              </w:rPr>
              <w:t>Spatial buffer to measure the total number of schools and healthcare facilities within relative accessibility of each route (</w:t>
            </w:r>
            <w:proofErr w:type="spellStart"/>
            <w:r w:rsidRPr="00F440DF">
              <w:rPr>
                <w:sz w:val="20"/>
              </w:rPr>
              <w:t>e.g</w:t>
            </w:r>
            <w:proofErr w:type="spellEnd"/>
            <w:r w:rsidRPr="00F440DF">
              <w:rPr>
                <w:sz w:val="20"/>
              </w:rPr>
              <w:t xml:space="preserve"> GPs, Doctors Surgeries)</w:t>
            </w:r>
          </w:p>
        </w:tc>
        <w:tc>
          <w:tcPr>
            <w:tcW w:w="1879" w:type="dxa"/>
            <w:tcBorders>
              <w:bottom w:val="single" w:sz="4" w:space="0" w:color="auto"/>
            </w:tcBorders>
            <w:shd w:val="clear" w:color="auto" w:fill="auto"/>
            <w:tcMar>
              <w:top w:w="80" w:type="dxa"/>
              <w:left w:w="80" w:type="dxa"/>
              <w:bottom w:w="80" w:type="dxa"/>
              <w:right w:w="80" w:type="dxa"/>
            </w:tcMar>
          </w:tcPr>
          <w:p w14:paraId="489CBD6B" w14:textId="77777777" w:rsidR="00B317A8" w:rsidRPr="00F440DF" w:rsidRDefault="00B317A8" w:rsidP="00F440DF">
            <w:pPr>
              <w:rPr>
                <w:i/>
                <w:sz w:val="20"/>
              </w:rPr>
            </w:pPr>
            <w:r w:rsidRPr="00F440DF">
              <w:rPr>
                <w:i/>
                <w:sz w:val="20"/>
              </w:rPr>
              <w:t>Florida, 2015</w:t>
            </w:r>
          </w:p>
        </w:tc>
      </w:tr>
      <w:tr w:rsidR="00B317A8" w14:paraId="6EFBC535" w14:textId="77777777" w:rsidTr="00567EF1">
        <w:trPr>
          <w:trHeight w:val="157"/>
        </w:trPr>
        <w:tc>
          <w:tcPr>
            <w:tcW w:w="152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47883F" w14:textId="77777777" w:rsidR="00B317A8" w:rsidRPr="00F440DF" w:rsidRDefault="00B317A8" w:rsidP="00F440DF">
            <w:pPr>
              <w:rPr>
                <w:sz w:val="20"/>
              </w:rPr>
            </w:pPr>
            <w:r w:rsidRPr="00F440DF">
              <w:rPr>
                <w:sz w:val="20"/>
              </w:rPr>
              <w:t>Proximity to green/open space</w:t>
            </w:r>
          </w:p>
        </w:tc>
        <w:tc>
          <w:tcPr>
            <w:tcW w:w="4788" w:type="dxa"/>
            <w:tcBorders>
              <w:top w:val="single" w:sz="4" w:space="0" w:color="auto"/>
              <w:left w:val="single" w:sz="4" w:space="0" w:color="auto"/>
              <w:bottom w:val="single" w:sz="4" w:space="0" w:color="auto"/>
              <w:right w:val="single" w:sz="4" w:space="0" w:color="auto"/>
            </w:tcBorders>
          </w:tcPr>
          <w:p w14:paraId="2542C589" w14:textId="77777777" w:rsidR="00B317A8" w:rsidRPr="00F440DF" w:rsidRDefault="00B317A8" w:rsidP="00F440DF">
            <w:pPr>
              <w:rPr>
                <w:sz w:val="20"/>
              </w:rPr>
            </w:pPr>
            <w:r w:rsidRPr="00F440DF">
              <w:rPr>
                <w:sz w:val="20"/>
              </w:rPr>
              <w:t>Spatial buffer to measure total instances of parks/green space</w:t>
            </w:r>
          </w:p>
        </w:tc>
        <w:tc>
          <w:tcPr>
            <w:tcW w:w="18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A0DAEF" w14:textId="77777777" w:rsidR="00B317A8" w:rsidRPr="00F440DF" w:rsidRDefault="00B317A8" w:rsidP="00F440DF">
            <w:pPr>
              <w:rPr>
                <w:i/>
                <w:sz w:val="20"/>
              </w:rPr>
            </w:pPr>
            <w:r w:rsidRPr="00F440DF">
              <w:rPr>
                <w:i/>
                <w:sz w:val="20"/>
              </w:rPr>
              <w:t>Luttik, 2000; Wu et al, 2014</w:t>
            </w:r>
          </w:p>
        </w:tc>
      </w:tr>
    </w:tbl>
    <w:p w14:paraId="4BC97FE9" w14:textId="77777777" w:rsidR="00B317A8" w:rsidRPr="00B317A8" w:rsidRDefault="00B317A8" w:rsidP="00050F11">
      <w:pPr>
        <w:pStyle w:val="Caption"/>
      </w:pPr>
      <w:bookmarkStart w:id="2" w:name="_Toc445239506"/>
      <w:r w:rsidRPr="00B317A8">
        <w:t xml:space="preserve">Table </w:t>
      </w:r>
      <w:fldSimple w:instr=" STYLEREF 1 \s ">
        <w:r w:rsidR="006E1FF6">
          <w:rPr>
            <w:noProof/>
          </w:rPr>
          <w:t>2</w:t>
        </w:r>
      </w:fldSimple>
      <w:r w:rsidR="000B67B1">
        <w:t>.</w:t>
      </w:r>
      <w:fldSimple w:instr=" SEQ Table \* ARABIC \s 1 ">
        <w:r w:rsidR="000B67B1">
          <w:rPr>
            <w:noProof/>
          </w:rPr>
          <w:t>2</w:t>
        </w:r>
      </w:fldSimple>
      <w:r w:rsidRPr="00B317A8">
        <w:t xml:space="preserve"> – </w:t>
      </w:r>
      <w:bookmarkEnd w:id="2"/>
      <w:r w:rsidRPr="008E4BB6">
        <w:rPr>
          <w:b w:val="0"/>
        </w:rPr>
        <w:t>Gentrification Attractors</w:t>
      </w:r>
    </w:p>
    <w:p w14:paraId="0C3CD8A7" w14:textId="77777777" w:rsidR="00B317A8" w:rsidRDefault="00B317A8" w:rsidP="00050F11"/>
    <w:p w14:paraId="15502B54" w14:textId="77777777" w:rsidR="00B317A8" w:rsidRPr="00B317A8" w:rsidRDefault="00B317A8" w:rsidP="00B317A8">
      <w:pPr>
        <w:pStyle w:val="Body"/>
        <w:rPr>
          <w:rStyle w:val="SubtleReference"/>
          <w:smallCaps w:val="0"/>
          <w:color w:val="000000"/>
          <w:u w:val="none" w:color="000000"/>
        </w:rPr>
      </w:pPr>
      <w:r w:rsidRPr="00B317A8">
        <w:rPr>
          <w:rStyle w:val="SubtleReference"/>
          <w:smallCaps w:val="0"/>
          <w:color w:val="000000"/>
          <w:u w:val="none" w:color="000000"/>
        </w:rPr>
        <w:t>It was also necessary to choose a control corridor that also contained broadly similar geo-demographic characteristics to tha</w:t>
      </w:r>
      <w:r w:rsidR="00A37617">
        <w:rPr>
          <w:rStyle w:val="SubtleReference"/>
          <w:smallCaps w:val="0"/>
          <w:color w:val="000000"/>
          <w:u w:val="none" w:color="000000"/>
        </w:rPr>
        <w:t>t of the tram corridor (Figure 2.2</w:t>
      </w:r>
      <w:r w:rsidRPr="00B317A8">
        <w:rPr>
          <w:rStyle w:val="SubtleReference"/>
          <w:smallCaps w:val="0"/>
          <w:color w:val="000000"/>
          <w:u w:val="none" w:color="000000"/>
        </w:rPr>
        <w:t>). This was achieved through mapping each zone in the city region to the eight output area classifications (OACs) from the census (ONS, 2011). Although the OACs of each zone did not account as a direct gentrification attractor, the classifications helped to account for differences in the socio-economic status, level of ethnic mixing and level of deprivation extent in each corridor. OACs were compared between the N.E.T corridor and the control corridor as a total % proportion of coverage. T</w:t>
      </w:r>
      <w:r w:rsidR="006F6DB0">
        <w:rPr>
          <w:rStyle w:val="SubtleReference"/>
          <w:smallCaps w:val="0"/>
          <w:color w:val="000000"/>
          <w:u w:val="none" w:color="000000"/>
        </w:rPr>
        <w:t>able 2</w:t>
      </w:r>
      <w:r w:rsidRPr="00B317A8">
        <w:rPr>
          <w:rStyle w:val="SubtleReference"/>
          <w:smallCaps w:val="0"/>
          <w:color w:val="000000"/>
          <w:u w:val="none" w:color="000000"/>
        </w:rPr>
        <w:t>.3 shows the results from the model of the control route and the two next best alternatives that were identified. The routes were considered on the number of indicators that were the closest mat</w:t>
      </w:r>
      <w:r w:rsidR="006F6DB0">
        <w:rPr>
          <w:rStyle w:val="SubtleReference"/>
          <w:smallCaps w:val="0"/>
          <w:color w:val="000000"/>
          <w:u w:val="none" w:color="000000"/>
        </w:rPr>
        <w:t xml:space="preserve">ch to that of the tram corridor. </w:t>
      </w:r>
    </w:p>
    <w:p w14:paraId="3F9AF2E2" w14:textId="77777777" w:rsidR="00B317A8" w:rsidRDefault="00B317A8" w:rsidP="00050F11"/>
    <w:p w14:paraId="366498E0" w14:textId="77777777" w:rsidR="00B317A8" w:rsidRDefault="00B317A8" w:rsidP="00050F11">
      <w:r>
        <w:rPr>
          <w:noProof/>
          <w:lang w:eastAsia="en-GB"/>
        </w:rPr>
        <w:drawing>
          <wp:inline distT="0" distB="0" distL="0" distR="0" wp14:anchorId="5B22AB7C" wp14:editId="5C19966D">
            <wp:extent cx="3890010" cy="504584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1 Output Area Classification by LSOA.JPG"/>
                    <pic:cNvPicPr/>
                  </pic:nvPicPr>
                  <pic:blipFill rotWithShape="1">
                    <a:blip r:embed="rId9" cstate="print">
                      <a:extLst>
                        <a:ext uri="{28A0092B-C50C-407E-A947-70E740481C1C}">
                          <a14:useLocalDpi xmlns:a14="http://schemas.microsoft.com/office/drawing/2010/main" val="0"/>
                        </a:ext>
                      </a:extLst>
                    </a:blip>
                    <a:srcRect l="2395" t="1977" r="2382" b="10637"/>
                    <a:stretch/>
                  </pic:blipFill>
                  <pic:spPr bwMode="auto">
                    <a:xfrm>
                      <a:off x="0" y="0"/>
                      <a:ext cx="3962478" cy="5139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C499BDF" w14:textId="77777777" w:rsidR="00B317A8" w:rsidRPr="00B317A8" w:rsidRDefault="00B317A8" w:rsidP="00050F11">
      <w:pPr>
        <w:pStyle w:val="Caption"/>
      </w:pPr>
      <w:bookmarkStart w:id="3" w:name="_Toc445239486"/>
      <w:r w:rsidRPr="00B317A8">
        <w:t xml:space="preserve">Figure </w:t>
      </w:r>
      <w:fldSimple w:instr=" STYLEREF 1 \s ">
        <w:r w:rsidR="00D61218">
          <w:rPr>
            <w:noProof/>
          </w:rPr>
          <w:t>2</w:t>
        </w:r>
      </w:fldSimple>
      <w:r w:rsidR="00D61218">
        <w:t>.</w:t>
      </w:r>
      <w:fldSimple w:instr=" SEQ Figure \* ARABIC \s 1 ">
        <w:r w:rsidR="006E1FF6">
          <w:rPr>
            <w:noProof/>
          </w:rPr>
          <w:t>2</w:t>
        </w:r>
      </w:fldSimple>
      <w:r w:rsidRPr="00897CC7">
        <w:t xml:space="preserve"> </w:t>
      </w:r>
      <w:r w:rsidRPr="00B317A8">
        <w:t xml:space="preserve">- </w:t>
      </w:r>
      <w:r w:rsidRPr="008E4BB6">
        <w:rPr>
          <w:b w:val="0"/>
        </w:rPr>
        <w:t xml:space="preserve">2011 </w:t>
      </w:r>
      <w:r w:rsidR="008E4BB6">
        <w:rPr>
          <w:b w:val="0"/>
        </w:rPr>
        <w:t xml:space="preserve">Nottingham City </w:t>
      </w:r>
      <w:r w:rsidRPr="008E4BB6">
        <w:rPr>
          <w:b w:val="0"/>
        </w:rPr>
        <w:t>Output Area Classification by LSOA</w:t>
      </w:r>
      <w:bookmarkEnd w:id="3"/>
    </w:p>
    <w:p w14:paraId="3EED9354" w14:textId="77777777" w:rsidR="00B317A8" w:rsidRDefault="00B317A8" w:rsidP="00050F11"/>
    <w:tbl>
      <w:tblPr>
        <w:tblW w:w="75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F4F"/>
        <w:tblLayout w:type="fixed"/>
        <w:tblLook w:val="04A0" w:firstRow="1" w:lastRow="0" w:firstColumn="1" w:lastColumn="0" w:noHBand="0" w:noVBand="1"/>
      </w:tblPr>
      <w:tblGrid>
        <w:gridCol w:w="2520"/>
        <w:gridCol w:w="1263"/>
        <w:gridCol w:w="1263"/>
        <w:gridCol w:w="1263"/>
        <w:gridCol w:w="1263"/>
      </w:tblGrid>
      <w:tr w:rsidR="00B317A8" w:rsidRPr="0041722C" w14:paraId="03D85775" w14:textId="77777777" w:rsidTr="00050F11">
        <w:trPr>
          <w:trHeight w:val="638"/>
          <w:tblHeader/>
        </w:trPr>
        <w:tc>
          <w:tcPr>
            <w:tcW w:w="2520" w:type="dxa"/>
            <w:shd w:val="clear" w:color="auto" w:fill="323F4F"/>
            <w:tcMar>
              <w:top w:w="0" w:type="dxa"/>
              <w:left w:w="0" w:type="dxa"/>
              <w:bottom w:w="0" w:type="dxa"/>
              <w:right w:w="0" w:type="dxa"/>
            </w:tcMar>
            <w:vAlign w:val="center"/>
          </w:tcPr>
          <w:p w14:paraId="3B39C4C6" w14:textId="77777777" w:rsidR="00B317A8" w:rsidRPr="00B317A8" w:rsidRDefault="00B317A8" w:rsidP="00846313">
            <w:pPr>
              <w:pStyle w:val="Body"/>
              <w:rPr>
                <w:color w:val="FFFFFF" w:themeColor="background1"/>
                <w:sz w:val="20"/>
                <w:szCs w:val="20"/>
              </w:rPr>
            </w:pPr>
            <w:r w:rsidRPr="00B317A8">
              <w:rPr>
                <w:color w:val="FFFFFF" w:themeColor="background1"/>
                <w:sz w:val="20"/>
                <w:szCs w:val="20"/>
              </w:rPr>
              <w:t>Indicators</w:t>
            </w:r>
          </w:p>
        </w:tc>
        <w:tc>
          <w:tcPr>
            <w:tcW w:w="1263" w:type="dxa"/>
            <w:shd w:val="clear" w:color="auto" w:fill="323F4F"/>
            <w:tcMar>
              <w:top w:w="0" w:type="dxa"/>
              <w:left w:w="0" w:type="dxa"/>
              <w:bottom w:w="0" w:type="dxa"/>
              <w:right w:w="0" w:type="dxa"/>
            </w:tcMar>
            <w:vAlign w:val="center"/>
          </w:tcPr>
          <w:p w14:paraId="323EAFCE" w14:textId="77777777" w:rsidR="00B317A8" w:rsidRPr="00B317A8" w:rsidRDefault="00B317A8" w:rsidP="00846313">
            <w:pPr>
              <w:pStyle w:val="Body"/>
              <w:rPr>
                <w:color w:val="FFFFFF" w:themeColor="background1"/>
                <w:sz w:val="20"/>
                <w:szCs w:val="20"/>
              </w:rPr>
            </w:pPr>
            <w:r w:rsidRPr="00B317A8">
              <w:rPr>
                <w:color w:val="FFFFFF" w:themeColor="background1"/>
                <w:sz w:val="20"/>
                <w:szCs w:val="20"/>
              </w:rPr>
              <w:t>N.E.T Route</w:t>
            </w:r>
          </w:p>
        </w:tc>
        <w:tc>
          <w:tcPr>
            <w:tcW w:w="1263" w:type="dxa"/>
            <w:shd w:val="clear" w:color="auto" w:fill="323F4F"/>
            <w:tcMar>
              <w:top w:w="0" w:type="dxa"/>
              <w:left w:w="0" w:type="dxa"/>
              <w:bottom w:w="0" w:type="dxa"/>
              <w:right w:w="0" w:type="dxa"/>
            </w:tcMar>
            <w:vAlign w:val="center"/>
          </w:tcPr>
          <w:p w14:paraId="29EB3D71" w14:textId="77777777" w:rsidR="00B317A8" w:rsidRPr="00B317A8" w:rsidRDefault="00B317A8" w:rsidP="00846313">
            <w:pPr>
              <w:pStyle w:val="Body"/>
              <w:rPr>
                <w:color w:val="FFFFFF" w:themeColor="background1"/>
                <w:sz w:val="20"/>
                <w:szCs w:val="20"/>
              </w:rPr>
            </w:pPr>
            <w:r w:rsidRPr="00B317A8">
              <w:rPr>
                <w:color w:val="FFFFFF" w:themeColor="background1"/>
                <w:sz w:val="20"/>
                <w:szCs w:val="20"/>
              </w:rPr>
              <w:t>Control</w:t>
            </w:r>
          </w:p>
        </w:tc>
        <w:tc>
          <w:tcPr>
            <w:tcW w:w="1263" w:type="dxa"/>
            <w:shd w:val="clear" w:color="auto" w:fill="323F4F"/>
            <w:tcMar>
              <w:top w:w="0" w:type="dxa"/>
              <w:left w:w="0" w:type="dxa"/>
              <w:bottom w:w="0" w:type="dxa"/>
              <w:right w:w="0" w:type="dxa"/>
            </w:tcMar>
            <w:vAlign w:val="center"/>
          </w:tcPr>
          <w:p w14:paraId="40A0D617" w14:textId="77777777" w:rsidR="00B317A8" w:rsidRPr="00B317A8" w:rsidRDefault="00B317A8" w:rsidP="00846313">
            <w:pPr>
              <w:pStyle w:val="Body"/>
              <w:rPr>
                <w:color w:val="FFFFFF" w:themeColor="background1"/>
                <w:sz w:val="20"/>
                <w:szCs w:val="20"/>
              </w:rPr>
            </w:pPr>
            <w:r w:rsidRPr="00B317A8">
              <w:rPr>
                <w:color w:val="FFFFFF" w:themeColor="background1"/>
                <w:sz w:val="20"/>
                <w:szCs w:val="20"/>
              </w:rPr>
              <w:t>Next Best Alternative 1</w:t>
            </w:r>
          </w:p>
        </w:tc>
        <w:tc>
          <w:tcPr>
            <w:tcW w:w="1263" w:type="dxa"/>
            <w:shd w:val="clear" w:color="auto" w:fill="323F4F"/>
            <w:tcMar>
              <w:top w:w="0" w:type="dxa"/>
              <w:left w:w="0" w:type="dxa"/>
              <w:bottom w:w="0" w:type="dxa"/>
              <w:right w:w="0" w:type="dxa"/>
            </w:tcMar>
            <w:vAlign w:val="center"/>
          </w:tcPr>
          <w:p w14:paraId="7542197A" w14:textId="77777777" w:rsidR="00B317A8" w:rsidRPr="00B317A8" w:rsidRDefault="00B317A8" w:rsidP="00846313">
            <w:pPr>
              <w:pStyle w:val="Body"/>
              <w:rPr>
                <w:color w:val="FFFFFF" w:themeColor="background1"/>
                <w:sz w:val="20"/>
                <w:szCs w:val="20"/>
              </w:rPr>
            </w:pPr>
            <w:r w:rsidRPr="00B317A8">
              <w:rPr>
                <w:color w:val="FFFFFF" w:themeColor="background1"/>
                <w:sz w:val="20"/>
                <w:szCs w:val="20"/>
              </w:rPr>
              <w:t>Next Best Alternative 2</w:t>
            </w:r>
          </w:p>
        </w:tc>
      </w:tr>
      <w:tr w:rsidR="00B317A8" w:rsidRPr="0041722C" w14:paraId="55CAC3A2" w14:textId="77777777" w:rsidTr="00050F11">
        <w:trPr>
          <w:trHeight w:val="112"/>
          <w:tblHeader/>
        </w:trPr>
        <w:tc>
          <w:tcPr>
            <w:tcW w:w="2520" w:type="dxa"/>
            <w:shd w:val="clear" w:color="auto" w:fill="auto"/>
            <w:tcMar>
              <w:top w:w="0" w:type="dxa"/>
              <w:left w:w="0" w:type="dxa"/>
              <w:bottom w:w="0" w:type="dxa"/>
              <w:right w:w="0" w:type="dxa"/>
            </w:tcMar>
            <w:vAlign w:val="center"/>
          </w:tcPr>
          <w:p w14:paraId="1D9FD9FB" w14:textId="77777777" w:rsidR="00B317A8" w:rsidRPr="00B317A8" w:rsidRDefault="00B317A8" w:rsidP="00846313">
            <w:pPr>
              <w:pStyle w:val="Body"/>
              <w:rPr>
                <w:sz w:val="20"/>
                <w:szCs w:val="20"/>
              </w:rPr>
            </w:pPr>
          </w:p>
        </w:tc>
        <w:tc>
          <w:tcPr>
            <w:tcW w:w="1263" w:type="dxa"/>
            <w:shd w:val="clear" w:color="auto" w:fill="auto"/>
            <w:tcMar>
              <w:top w:w="0" w:type="dxa"/>
              <w:left w:w="0" w:type="dxa"/>
              <w:bottom w:w="0" w:type="dxa"/>
              <w:right w:w="0" w:type="dxa"/>
            </w:tcMar>
            <w:vAlign w:val="center"/>
          </w:tcPr>
          <w:p w14:paraId="187A27AF" w14:textId="77777777" w:rsidR="00B317A8" w:rsidRPr="00B317A8" w:rsidRDefault="00B317A8" w:rsidP="00846313">
            <w:pPr>
              <w:pStyle w:val="Body"/>
              <w:rPr>
                <w:sz w:val="20"/>
                <w:szCs w:val="20"/>
              </w:rPr>
            </w:pPr>
            <w:r w:rsidRPr="00B317A8">
              <w:rPr>
                <w:sz w:val="20"/>
                <w:szCs w:val="20"/>
              </w:rPr>
              <w:t>N.E.T Tram</w:t>
            </w:r>
          </w:p>
        </w:tc>
        <w:tc>
          <w:tcPr>
            <w:tcW w:w="1263" w:type="dxa"/>
            <w:shd w:val="clear" w:color="auto" w:fill="auto"/>
            <w:tcMar>
              <w:top w:w="0" w:type="dxa"/>
              <w:left w:w="0" w:type="dxa"/>
              <w:bottom w:w="0" w:type="dxa"/>
              <w:right w:w="0" w:type="dxa"/>
            </w:tcMar>
            <w:vAlign w:val="center"/>
          </w:tcPr>
          <w:p w14:paraId="21513294" w14:textId="77777777" w:rsidR="00B317A8" w:rsidRPr="00B317A8" w:rsidRDefault="00B317A8" w:rsidP="00846313">
            <w:pPr>
              <w:pStyle w:val="Body"/>
              <w:rPr>
                <w:sz w:val="20"/>
                <w:szCs w:val="20"/>
              </w:rPr>
            </w:pPr>
            <w:r w:rsidRPr="00B317A8">
              <w:rPr>
                <w:sz w:val="20"/>
                <w:szCs w:val="20"/>
              </w:rPr>
              <w:t>NCT 15/16</w:t>
            </w:r>
          </w:p>
        </w:tc>
        <w:tc>
          <w:tcPr>
            <w:tcW w:w="1263" w:type="dxa"/>
            <w:shd w:val="clear" w:color="auto" w:fill="auto"/>
            <w:tcMar>
              <w:top w:w="0" w:type="dxa"/>
              <w:left w:w="0" w:type="dxa"/>
              <w:bottom w:w="0" w:type="dxa"/>
              <w:right w:w="0" w:type="dxa"/>
            </w:tcMar>
            <w:vAlign w:val="center"/>
          </w:tcPr>
          <w:p w14:paraId="430E0E9D" w14:textId="77777777" w:rsidR="00B317A8" w:rsidRPr="00B317A8" w:rsidRDefault="00B317A8" w:rsidP="00846313">
            <w:pPr>
              <w:pStyle w:val="Body"/>
              <w:rPr>
                <w:sz w:val="20"/>
                <w:szCs w:val="20"/>
              </w:rPr>
            </w:pPr>
            <w:r w:rsidRPr="00B317A8">
              <w:rPr>
                <w:sz w:val="20"/>
                <w:szCs w:val="20"/>
              </w:rPr>
              <w:t>NCT 89</w:t>
            </w:r>
          </w:p>
        </w:tc>
        <w:tc>
          <w:tcPr>
            <w:tcW w:w="1263" w:type="dxa"/>
            <w:shd w:val="clear" w:color="auto" w:fill="auto"/>
            <w:tcMar>
              <w:top w:w="0" w:type="dxa"/>
              <w:left w:w="0" w:type="dxa"/>
              <w:bottom w:w="0" w:type="dxa"/>
              <w:right w:w="0" w:type="dxa"/>
            </w:tcMar>
            <w:vAlign w:val="center"/>
          </w:tcPr>
          <w:p w14:paraId="0D537561" w14:textId="77777777" w:rsidR="00B317A8" w:rsidRPr="00B317A8" w:rsidRDefault="00B317A8" w:rsidP="00846313">
            <w:pPr>
              <w:pStyle w:val="Body"/>
              <w:rPr>
                <w:sz w:val="20"/>
                <w:szCs w:val="20"/>
              </w:rPr>
            </w:pPr>
            <w:r w:rsidRPr="00B317A8">
              <w:rPr>
                <w:sz w:val="20"/>
                <w:szCs w:val="20"/>
              </w:rPr>
              <w:t>NCT 17</w:t>
            </w:r>
          </w:p>
        </w:tc>
      </w:tr>
      <w:tr w:rsidR="00B317A8" w:rsidRPr="0041722C" w14:paraId="263E8B53"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5EBFFCEF" w14:textId="77777777" w:rsidR="00B317A8" w:rsidRPr="00B317A8" w:rsidRDefault="00B317A8" w:rsidP="00846313">
            <w:pPr>
              <w:pStyle w:val="Body"/>
              <w:rPr>
                <w:sz w:val="20"/>
                <w:szCs w:val="20"/>
              </w:rPr>
            </w:pPr>
            <w:r w:rsidRPr="00B317A8">
              <w:rPr>
                <w:sz w:val="20"/>
                <w:szCs w:val="20"/>
              </w:rPr>
              <w:t>% Cosmopolitans (2)</w:t>
            </w:r>
          </w:p>
        </w:tc>
        <w:tc>
          <w:tcPr>
            <w:tcW w:w="1263" w:type="dxa"/>
            <w:shd w:val="clear" w:color="auto" w:fill="auto"/>
            <w:tcMar>
              <w:top w:w="0" w:type="dxa"/>
              <w:left w:w="0" w:type="dxa"/>
              <w:bottom w:w="0" w:type="dxa"/>
              <w:right w:w="0" w:type="dxa"/>
            </w:tcMar>
            <w:vAlign w:val="center"/>
          </w:tcPr>
          <w:p w14:paraId="065749EC" w14:textId="77777777" w:rsidR="00B317A8" w:rsidRPr="00B317A8" w:rsidRDefault="00B317A8" w:rsidP="00846313">
            <w:pPr>
              <w:pStyle w:val="Body"/>
              <w:rPr>
                <w:sz w:val="20"/>
                <w:szCs w:val="20"/>
              </w:rPr>
            </w:pPr>
            <w:r w:rsidRPr="00B317A8">
              <w:rPr>
                <w:sz w:val="20"/>
                <w:szCs w:val="20"/>
              </w:rPr>
              <w:t>9%</w:t>
            </w:r>
          </w:p>
        </w:tc>
        <w:tc>
          <w:tcPr>
            <w:tcW w:w="1263" w:type="dxa"/>
            <w:shd w:val="clear" w:color="auto" w:fill="auto"/>
            <w:tcMar>
              <w:top w:w="0" w:type="dxa"/>
              <w:left w:w="0" w:type="dxa"/>
              <w:bottom w:w="0" w:type="dxa"/>
              <w:right w:w="0" w:type="dxa"/>
            </w:tcMar>
            <w:vAlign w:val="center"/>
          </w:tcPr>
          <w:p w14:paraId="5DBBA831" w14:textId="77777777" w:rsidR="00B317A8" w:rsidRPr="00B317A8" w:rsidRDefault="00B317A8" w:rsidP="00846313">
            <w:pPr>
              <w:pStyle w:val="Body"/>
              <w:rPr>
                <w:sz w:val="20"/>
                <w:szCs w:val="20"/>
              </w:rPr>
            </w:pPr>
            <w:r w:rsidRPr="00B317A8">
              <w:rPr>
                <w:sz w:val="20"/>
                <w:szCs w:val="20"/>
              </w:rPr>
              <w:t>14%</w:t>
            </w:r>
          </w:p>
        </w:tc>
        <w:tc>
          <w:tcPr>
            <w:tcW w:w="1263" w:type="dxa"/>
            <w:shd w:val="clear" w:color="auto" w:fill="auto"/>
            <w:tcMar>
              <w:top w:w="0" w:type="dxa"/>
              <w:left w:w="0" w:type="dxa"/>
              <w:bottom w:w="0" w:type="dxa"/>
              <w:right w:w="0" w:type="dxa"/>
            </w:tcMar>
            <w:vAlign w:val="center"/>
          </w:tcPr>
          <w:p w14:paraId="03304841" w14:textId="77777777" w:rsidR="00B317A8" w:rsidRPr="00B317A8" w:rsidRDefault="00B317A8" w:rsidP="00846313">
            <w:pPr>
              <w:pStyle w:val="Body"/>
              <w:rPr>
                <w:sz w:val="20"/>
                <w:szCs w:val="20"/>
              </w:rPr>
            </w:pPr>
            <w:r w:rsidRPr="00B317A8">
              <w:rPr>
                <w:sz w:val="20"/>
                <w:szCs w:val="20"/>
              </w:rPr>
              <w:t>19%</w:t>
            </w:r>
          </w:p>
        </w:tc>
        <w:tc>
          <w:tcPr>
            <w:tcW w:w="1263" w:type="dxa"/>
            <w:shd w:val="clear" w:color="auto" w:fill="auto"/>
            <w:tcMar>
              <w:top w:w="0" w:type="dxa"/>
              <w:left w:w="0" w:type="dxa"/>
              <w:bottom w:w="0" w:type="dxa"/>
              <w:right w:w="0" w:type="dxa"/>
            </w:tcMar>
            <w:vAlign w:val="center"/>
          </w:tcPr>
          <w:p w14:paraId="6E50A107" w14:textId="77777777" w:rsidR="00B317A8" w:rsidRPr="00B317A8" w:rsidRDefault="00B317A8" w:rsidP="00846313">
            <w:pPr>
              <w:pStyle w:val="Body"/>
              <w:rPr>
                <w:sz w:val="20"/>
                <w:szCs w:val="20"/>
              </w:rPr>
            </w:pPr>
            <w:r w:rsidRPr="00B317A8">
              <w:rPr>
                <w:sz w:val="20"/>
                <w:szCs w:val="20"/>
              </w:rPr>
              <w:t>15%</w:t>
            </w:r>
          </w:p>
        </w:tc>
      </w:tr>
      <w:tr w:rsidR="00B317A8" w:rsidRPr="0041722C" w14:paraId="2FD0EE54"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4873AA6C" w14:textId="77777777" w:rsidR="00B317A8" w:rsidRPr="00B317A8" w:rsidRDefault="00B317A8" w:rsidP="00846313">
            <w:pPr>
              <w:pStyle w:val="Body"/>
              <w:rPr>
                <w:sz w:val="20"/>
                <w:szCs w:val="20"/>
              </w:rPr>
            </w:pPr>
            <w:r w:rsidRPr="00B317A8">
              <w:rPr>
                <w:sz w:val="20"/>
                <w:szCs w:val="20"/>
              </w:rPr>
              <w:t>% Ethnicity Central (3)</w:t>
            </w:r>
          </w:p>
        </w:tc>
        <w:tc>
          <w:tcPr>
            <w:tcW w:w="1263" w:type="dxa"/>
            <w:shd w:val="clear" w:color="auto" w:fill="auto"/>
            <w:tcMar>
              <w:top w:w="0" w:type="dxa"/>
              <w:left w:w="0" w:type="dxa"/>
              <w:bottom w:w="0" w:type="dxa"/>
              <w:right w:w="0" w:type="dxa"/>
            </w:tcMar>
            <w:vAlign w:val="center"/>
          </w:tcPr>
          <w:p w14:paraId="185DBEB7" w14:textId="77777777" w:rsidR="00B317A8" w:rsidRPr="00B317A8" w:rsidRDefault="00B317A8" w:rsidP="00846313">
            <w:pPr>
              <w:pStyle w:val="Body"/>
              <w:rPr>
                <w:sz w:val="20"/>
                <w:szCs w:val="20"/>
              </w:rPr>
            </w:pPr>
            <w:r w:rsidRPr="00B317A8">
              <w:rPr>
                <w:sz w:val="20"/>
                <w:szCs w:val="20"/>
              </w:rPr>
              <w:t>12%</w:t>
            </w:r>
          </w:p>
        </w:tc>
        <w:tc>
          <w:tcPr>
            <w:tcW w:w="1263" w:type="dxa"/>
            <w:shd w:val="clear" w:color="auto" w:fill="auto"/>
            <w:tcMar>
              <w:top w:w="0" w:type="dxa"/>
              <w:left w:w="0" w:type="dxa"/>
              <w:bottom w:w="0" w:type="dxa"/>
              <w:right w:w="0" w:type="dxa"/>
            </w:tcMar>
            <w:vAlign w:val="center"/>
          </w:tcPr>
          <w:p w14:paraId="5F6A1EE9" w14:textId="77777777" w:rsidR="00B317A8" w:rsidRPr="00B317A8" w:rsidRDefault="00B317A8" w:rsidP="00846313">
            <w:pPr>
              <w:pStyle w:val="Body"/>
              <w:rPr>
                <w:sz w:val="20"/>
                <w:szCs w:val="20"/>
              </w:rPr>
            </w:pPr>
            <w:r w:rsidRPr="00B317A8">
              <w:rPr>
                <w:sz w:val="20"/>
                <w:szCs w:val="20"/>
              </w:rPr>
              <w:t>8%</w:t>
            </w:r>
          </w:p>
        </w:tc>
        <w:tc>
          <w:tcPr>
            <w:tcW w:w="1263" w:type="dxa"/>
            <w:shd w:val="clear" w:color="auto" w:fill="auto"/>
            <w:tcMar>
              <w:top w:w="0" w:type="dxa"/>
              <w:left w:w="0" w:type="dxa"/>
              <w:bottom w:w="0" w:type="dxa"/>
              <w:right w:w="0" w:type="dxa"/>
            </w:tcMar>
            <w:vAlign w:val="center"/>
          </w:tcPr>
          <w:p w14:paraId="0530C5D6" w14:textId="77777777" w:rsidR="00B317A8" w:rsidRPr="00B317A8" w:rsidRDefault="00B317A8" w:rsidP="00846313">
            <w:pPr>
              <w:pStyle w:val="Body"/>
              <w:rPr>
                <w:sz w:val="20"/>
                <w:szCs w:val="20"/>
              </w:rPr>
            </w:pPr>
            <w:r w:rsidRPr="00B317A8">
              <w:rPr>
                <w:sz w:val="20"/>
                <w:szCs w:val="20"/>
              </w:rPr>
              <w:t>8%</w:t>
            </w:r>
          </w:p>
        </w:tc>
        <w:tc>
          <w:tcPr>
            <w:tcW w:w="1263" w:type="dxa"/>
            <w:shd w:val="clear" w:color="auto" w:fill="auto"/>
            <w:tcMar>
              <w:top w:w="0" w:type="dxa"/>
              <w:left w:w="0" w:type="dxa"/>
              <w:bottom w:w="0" w:type="dxa"/>
              <w:right w:w="0" w:type="dxa"/>
            </w:tcMar>
            <w:vAlign w:val="center"/>
          </w:tcPr>
          <w:p w14:paraId="3B225984" w14:textId="77777777" w:rsidR="00B317A8" w:rsidRPr="00B317A8" w:rsidRDefault="00B317A8" w:rsidP="00846313">
            <w:pPr>
              <w:pStyle w:val="Body"/>
              <w:rPr>
                <w:sz w:val="20"/>
                <w:szCs w:val="20"/>
              </w:rPr>
            </w:pPr>
            <w:r w:rsidRPr="00B317A8">
              <w:rPr>
                <w:sz w:val="20"/>
                <w:szCs w:val="20"/>
              </w:rPr>
              <w:t>9%</w:t>
            </w:r>
          </w:p>
        </w:tc>
      </w:tr>
      <w:tr w:rsidR="00B317A8" w:rsidRPr="0041722C" w14:paraId="4714005B"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7D53CA07" w14:textId="77777777" w:rsidR="00B317A8" w:rsidRPr="00B317A8" w:rsidRDefault="00B317A8" w:rsidP="00846313">
            <w:pPr>
              <w:pStyle w:val="Body"/>
              <w:rPr>
                <w:sz w:val="20"/>
                <w:szCs w:val="20"/>
              </w:rPr>
            </w:pPr>
            <w:r w:rsidRPr="00B317A8">
              <w:rPr>
                <w:sz w:val="20"/>
                <w:szCs w:val="20"/>
              </w:rPr>
              <w:t>% Multicultural Metropolitans (4)</w:t>
            </w:r>
          </w:p>
        </w:tc>
        <w:tc>
          <w:tcPr>
            <w:tcW w:w="1263" w:type="dxa"/>
            <w:shd w:val="clear" w:color="auto" w:fill="auto"/>
            <w:tcMar>
              <w:top w:w="0" w:type="dxa"/>
              <w:left w:w="0" w:type="dxa"/>
              <w:bottom w:w="0" w:type="dxa"/>
              <w:right w:w="0" w:type="dxa"/>
            </w:tcMar>
            <w:vAlign w:val="center"/>
          </w:tcPr>
          <w:p w14:paraId="127A739E" w14:textId="77777777" w:rsidR="00B317A8" w:rsidRPr="00B317A8" w:rsidRDefault="00B317A8" w:rsidP="00846313">
            <w:pPr>
              <w:pStyle w:val="Body"/>
              <w:rPr>
                <w:sz w:val="20"/>
                <w:szCs w:val="20"/>
              </w:rPr>
            </w:pPr>
            <w:r w:rsidRPr="00B317A8">
              <w:rPr>
                <w:sz w:val="20"/>
                <w:szCs w:val="20"/>
              </w:rPr>
              <w:t>64%</w:t>
            </w:r>
          </w:p>
        </w:tc>
        <w:tc>
          <w:tcPr>
            <w:tcW w:w="1263" w:type="dxa"/>
            <w:shd w:val="clear" w:color="auto" w:fill="auto"/>
            <w:tcMar>
              <w:top w:w="0" w:type="dxa"/>
              <w:left w:w="0" w:type="dxa"/>
              <w:bottom w:w="0" w:type="dxa"/>
              <w:right w:w="0" w:type="dxa"/>
            </w:tcMar>
            <w:vAlign w:val="center"/>
          </w:tcPr>
          <w:p w14:paraId="7EB23EA6" w14:textId="77777777" w:rsidR="00B317A8" w:rsidRPr="00B317A8" w:rsidRDefault="00B317A8" w:rsidP="00846313">
            <w:pPr>
              <w:pStyle w:val="Body"/>
              <w:rPr>
                <w:sz w:val="20"/>
                <w:szCs w:val="20"/>
              </w:rPr>
            </w:pPr>
            <w:r w:rsidRPr="00B317A8">
              <w:rPr>
                <w:sz w:val="20"/>
                <w:szCs w:val="20"/>
              </w:rPr>
              <w:t>52%</w:t>
            </w:r>
          </w:p>
        </w:tc>
        <w:tc>
          <w:tcPr>
            <w:tcW w:w="1263" w:type="dxa"/>
            <w:shd w:val="clear" w:color="auto" w:fill="auto"/>
            <w:tcMar>
              <w:top w:w="0" w:type="dxa"/>
              <w:left w:w="0" w:type="dxa"/>
              <w:bottom w:w="0" w:type="dxa"/>
              <w:right w:w="0" w:type="dxa"/>
            </w:tcMar>
            <w:vAlign w:val="center"/>
          </w:tcPr>
          <w:p w14:paraId="171A66BC" w14:textId="77777777" w:rsidR="00B317A8" w:rsidRPr="00B317A8" w:rsidRDefault="00B317A8" w:rsidP="00846313">
            <w:pPr>
              <w:pStyle w:val="Body"/>
              <w:rPr>
                <w:sz w:val="20"/>
                <w:szCs w:val="20"/>
              </w:rPr>
            </w:pPr>
            <w:r w:rsidRPr="00B317A8">
              <w:rPr>
                <w:sz w:val="20"/>
                <w:szCs w:val="20"/>
              </w:rPr>
              <w:t>38%</w:t>
            </w:r>
          </w:p>
        </w:tc>
        <w:tc>
          <w:tcPr>
            <w:tcW w:w="1263" w:type="dxa"/>
            <w:shd w:val="clear" w:color="auto" w:fill="auto"/>
            <w:tcMar>
              <w:top w:w="0" w:type="dxa"/>
              <w:left w:w="0" w:type="dxa"/>
              <w:bottom w:w="0" w:type="dxa"/>
              <w:right w:w="0" w:type="dxa"/>
            </w:tcMar>
            <w:vAlign w:val="center"/>
          </w:tcPr>
          <w:p w14:paraId="6AE3FAA8" w14:textId="77777777" w:rsidR="00B317A8" w:rsidRPr="00B317A8" w:rsidRDefault="00B317A8" w:rsidP="00846313">
            <w:pPr>
              <w:pStyle w:val="Body"/>
              <w:rPr>
                <w:sz w:val="20"/>
                <w:szCs w:val="20"/>
              </w:rPr>
            </w:pPr>
            <w:r w:rsidRPr="00B317A8">
              <w:rPr>
                <w:sz w:val="20"/>
                <w:szCs w:val="20"/>
              </w:rPr>
              <w:t>51%</w:t>
            </w:r>
          </w:p>
        </w:tc>
      </w:tr>
      <w:tr w:rsidR="00B317A8" w:rsidRPr="0041722C" w14:paraId="7B9DE71F"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655E90AD" w14:textId="77777777" w:rsidR="00B317A8" w:rsidRPr="00B317A8" w:rsidRDefault="00B317A8" w:rsidP="00846313">
            <w:pPr>
              <w:pStyle w:val="Body"/>
              <w:rPr>
                <w:sz w:val="20"/>
                <w:szCs w:val="20"/>
              </w:rPr>
            </w:pPr>
            <w:r w:rsidRPr="00B317A8">
              <w:rPr>
                <w:color w:val="FFFFFF" w:themeColor="background1"/>
                <w:sz w:val="20"/>
                <w:szCs w:val="20"/>
              </w:rPr>
              <w:t>% Urbanites (5)</w:t>
            </w:r>
          </w:p>
        </w:tc>
        <w:tc>
          <w:tcPr>
            <w:tcW w:w="1263" w:type="dxa"/>
            <w:shd w:val="clear" w:color="auto" w:fill="auto"/>
            <w:tcMar>
              <w:top w:w="0" w:type="dxa"/>
              <w:left w:w="0" w:type="dxa"/>
              <w:bottom w:w="0" w:type="dxa"/>
              <w:right w:w="0" w:type="dxa"/>
            </w:tcMar>
            <w:vAlign w:val="center"/>
          </w:tcPr>
          <w:p w14:paraId="77E13315" w14:textId="77777777" w:rsidR="00B317A8" w:rsidRPr="00B317A8" w:rsidRDefault="00B317A8" w:rsidP="00846313">
            <w:pPr>
              <w:pStyle w:val="Body"/>
              <w:rPr>
                <w:sz w:val="20"/>
                <w:szCs w:val="20"/>
              </w:rPr>
            </w:pPr>
            <w:r w:rsidRPr="00B317A8">
              <w:rPr>
                <w:sz w:val="20"/>
                <w:szCs w:val="20"/>
              </w:rPr>
              <w:t>6%</w:t>
            </w:r>
          </w:p>
        </w:tc>
        <w:tc>
          <w:tcPr>
            <w:tcW w:w="1263" w:type="dxa"/>
            <w:shd w:val="clear" w:color="auto" w:fill="auto"/>
            <w:tcMar>
              <w:top w:w="0" w:type="dxa"/>
              <w:left w:w="0" w:type="dxa"/>
              <w:bottom w:w="0" w:type="dxa"/>
              <w:right w:w="0" w:type="dxa"/>
            </w:tcMar>
            <w:vAlign w:val="center"/>
          </w:tcPr>
          <w:p w14:paraId="15719E99" w14:textId="77777777" w:rsidR="00B317A8" w:rsidRPr="00B317A8" w:rsidRDefault="00B317A8" w:rsidP="00846313">
            <w:pPr>
              <w:pStyle w:val="Body"/>
              <w:rPr>
                <w:sz w:val="20"/>
                <w:szCs w:val="20"/>
              </w:rPr>
            </w:pPr>
            <w:r w:rsidRPr="00B317A8">
              <w:rPr>
                <w:sz w:val="20"/>
                <w:szCs w:val="20"/>
              </w:rPr>
              <w:t>6%</w:t>
            </w:r>
          </w:p>
        </w:tc>
        <w:tc>
          <w:tcPr>
            <w:tcW w:w="1263" w:type="dxa"/>
            <w:shd w:val="clear" w:color="auto" w:fill="auto"/>
            <w:tcMar>
              <w:top w:w="0" w:type="dxa"/>
              <w:left w:w="0" w:type="dxa"/>
              <w:bottom w:w="0" w:type="dxa"/>
              <w:right w:w="0" w:type="dxa"/>
            </w:tcMar>
            <w:vAlign w:val="center"/>
          </w:tcPr>
          <w:p w14:paraId="42DE11B3" w14:textId="77777777" w:rsidR="00B317A8" w:rsidRPr="00B317A8" w:rsidRDefault="00B317A8" w:rsidP="00846313">
            <w:pPr>
              <w:pStyle w:val="Body"/>
              <w:rPr>
                <w:sz w:val="20"/>
                <w:szCs w:val="20"/>
              </w:rPr>
            </w:pPr>
            <w:r w:rsidRPr="00B317A8">
              <w:rPr>
                <w:sz w:val="20"/>
                <w:szCs w:val="20"/>
              </w:rPr>
              <w:t>10%</w:t>
            </w:r>
          </w:p>
        </w:tc>
        <w:tc>
          <w:tcPr>
            <w:tcW w:w="1263" w:type="dxa"/>
            <w:shd w:val="clear" w:color="auto" w:fill="auto"/>
            <w:tcMar>
              <w:top w:w="0" w:type="dxa"/>
              <w:left w:w="0" w:type="dxa"/>
              <w:bottom w:w="0" w:type="dxa"/>
              <w:right w:w="0" w:type="dxa"/>
            </w:tcMar>
            <w:vAlign w:val="center"/>
          </w:tcPr>
          <w:p w14:paraId="5C59C9C1" w14:textId="77777777" w:rsidR="00B317A8" w:rsidRPr="00B317A8" w:rsidRDefault="00B317A8" w:rsidP="00846313">
            <w:pPr>
              <w:pStyle w:val="Body"/>
              <w:rPr>
                <w:sz w:val="20"/>
                <w:szCs w:val="20"/>
              </w:rPr>
            </w:pPr>
            <w:r w:rsidRPr="00B317A8">
              <w:rPr>
                <w:sz w:val="20"/>
                <w:szCs w:val="20"/>
              </w:rPr>
              <w:t>8%</w:t>
            </w:r>
          </w:p>
        </w:tc>
      </w:tr>
      <w:tr w:rsidR="00B317A8" w:rsidRPr="0041722C" w14:paraId="2AEE5318"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73B893AF" w14:textId="77777777" w:rsidR="00B317A8" w:rsidRPr="00B317A8" w:rsidRDefault="00B317A8" w:rsidP="00846313">
            <w:pPr>
              <w:pStyle w:val="Body"/>
              <w:rPr>
                <w:sz w:val="20"/>
                <w:szCs w:val="20"/>
              </w:rPr>
            </w:pPr>
            <w:r w:rsidRPr="00B317A8">
              <w:rPr>
                <w:sz w:val="20"/>
                <w:szCs w:val="20"/>
              </w:rPr>
              <w:t>% Suburbanites (6)</w:t>
            </w:r>
          </w:p>
        </w:tc>
        <w:tc>
          <w:tcPr>
            <w:tcW w:w="1263" w:type="dxa"/>
            <w:shd w:val="clear" w:color="auto" w:fill="auto"/>
            <w:tcMar>
              <w:top w:w="0" w:type="dxa"/>
              <w:left w:w="0" w:type="dxa"/>
              <w:bottom w:w="0" w:type="dxa"/>
              <w:right w:w="0" w:type="dxa"/>
            </w:tcMar>
            <w:vAlign w:val="center"/>
          </w:tcPr>
          <w:p w14:paraId="0B06917F" w14:textId="77777777" w:rsidR="00B317A8" w:rsidRPr="00B317A8" w:rsidRDefault="00B317A8" w:rsidP="00846313">
            <w:pPr>
              <w:pStyle w:val="Body"/>
              <w:rPr>
                <w:sz w:val="20"/>
                <w:szCs w:val="20"/>
              </w:rPr>
            </w:pPr>
            <w:r w:rsidRPr="00B317A8">
              <w:rPr>
                <w:sz w:val="20"/>
                <w:szCs w:val="20"/>
              </w:rPr>
              <w:t>3%</w:t>
            </w:r>
          </w:p>
        </w:tc>
        <w:tc>
          <w:tcPr>
            <w:tcW w:w="1263" w:type="dxa"/>
            <w:shd w:val="clear" w:color="auto" w:fill="auto"/>
            <w:tcMar>
              <w:top w:w="0" w:type="dxa"/>
              <w:left w:w="0" w:type="dxa"/>
              <w:bottom w:w="0" w:type="dxa"/>
              <w:right w:w="0" w:type="dxa"/>
            </w:tcMar>
            <w:vAlign w:val="center"/>
          </w:tcPr>
          <w:p w14:paraId="16085E6D" w14:textId="77777777" w:rsidR="00B317A8" w:rsidRPr="00B317A8" w:rsidRDefault="00B317A8" w:rsidP="00846313">
            <w:pPr>
              <w:pStyle w:val="Body"/>
              <w:rPr>
                <w:sz w:val="20"/>
                <w:szCs w:val="20"/>
              </w:rPr>
            </w:pPr>
            <w:r w:rsidRPr="00B317A8">
              <w:rPr>
                <w:sz w:val="20"/>
                <w:szCs w:val="20"/>
              </w:rPr>
              <w:t>2%</w:t>
            </w:r>
          </w:p>
        </w:tc>
        <w:tc>
          <w:tcPr>
            <w:tcW w:w="1263" w:type="dxa"/>
            <w:shd w:val="clear" w:color="auto" w:fill="auto"/>
            <w:tcMar>
              <w:top w:w="0" w:type="dxa"/>
              <w:left w:w="0" w:type="dxa"/>
              <w:bottom w:w="0" w:type="dxa"/>
              <w:right w:w="0" w:type="dxa"/>
            </w:tcMar>
            <w:vAlign w:val="center"/>
          </w:tcPr>
          <w:p w14:paraId="5A1B324B" w14:textId="77777777" w:rsidR="00B317A8" w:rsidRPr="00B317A8" w:rsidRDefault="00B317A8" w:rsidP="00846313">
            <w:pPr>
              <w:pStyle w:val="Body"/>
              <w:rPr>
                <w:sz w:val="20"/>
                <w:szCs w:val="20"/>
              </w:rPr>
            </w:pPr>
            <w:r w:rsidRPr="00B317A8">
              <w:rPr>
                <w:sz w:val="20"/>
                <w:szCs w:val="20"/>
              </w:rPr>
              <w:t>1%</w:t>
            </w:r>
          </w:p>
        </w:tc>
        <w:tc>
          <w:tcPr>
            <w:tcW w:w="1263" w:type="dxa"/>
            <w:shd w:val="clear" w:color="auto" w:fill="auto"/>
            <w:tcMar>
              <w:top w:w="0" w:type="dxa"/>
              <w:left w:w="0" w:type="dxa"/>
              <w:bottom w:w="0" w:type="dxa"/>
              <w:right w:w="0" w:type="dxa"/>
            </w:tcMar>
            <w:vAlign w:val="center"/>
          </w:tcPr>
          <w:p w14:paraId="60655803" w14:textId="77777777" w:rsidR="00B317A8" w:rsidRPr="00B317A8" w:rsidRDefault="00B317A8" w:rsidP="00846313">
            <w:pPr>
              <w:pStyle w:val="Body"/>
              <w:rPr>
                <w:sz w:val="20"/>
                <w:szCs w:val="20"/>
              </w:rPr>
            </w:pPr>
            <w:r w:rsidRPr="00B317A8">
              <w:rPr>
                <w:sz w:val="20"/>
                <w:szCs w:val="20"/>
              </w:rPr>
              <w:t>4%</w:t>
            </w:r>
          </w:p>
        </w:tc>
      </w:tr>
      <w:tr w:rsidR="00B317A8" w:rsidRPr="0041722C" w14:paraId="39576A92"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13F677B1" w14:textId="77777777" w:rsidR="00B317A8" w:rsidRPr="00B317A8" w:rsidRDefault="00B317A8" w:rsidP="00846313">
            <w:pPr>
              <w:pStyle w:val="Body"/>
              <w:rPr>
                <w:sz w:val="20"/>
                <w:szCs w:val="20"/>
              </w:rPr>
            </w:pPr>
            <w:r w:rsidRPr="00B317A8">
              <w:rPr>
                <w:sz w:val="20"/>
                <w:szCs w:val="20"/>
              </w:rPr>
              <w:t>% Constrained City Dwellers (7)</w:t>
            </w:r>
          </w:p>
        </w:tc>
        <w:tc>
          <w:tcPr>
            <w:tcW w:w="1263" w:type="dxa"/>
            <w:shd w:val="clear" w:color="auto" w:fill="auto"/>
            <w:tcMar>
              <w:top w:w="0" w:type="dxa"/>
              <w:left w:w="0" w:type="dxa"/>
              <w:bottom w:w="0" w:type="dxa"/>
              <w:right w:w="0" w:type="dxa"/>
            </w:tcMar>
            <w:vAlign w:val="center"/>
          </w:tcPr>
          <w:p w14:paraId="715A8F13" w14:textId="77777777" w:rsidR="00B317A8" w:rsidRPr="00B317A8" w:rsidRDefault="00B317A8" w:rsidP="00846313">
            <w:pPr>
              <w:pStyle w:val="Body"/>
              <w:rPr>
                <w:sz w:val="20"/>
                <w:szCs w:val="20"/>
              </w:rPr>
            </w:pPr>
            <w:r w:rsidRPr="00B317A8">
              <w:rPr>
                <w:sz w:val="20"/>
                <w:szCs w:val="20"/>
              </w:rPr>
              <w:t>2%</w:t>
            </w:r>
          </w:p>
        </w:tc>
        <w:tc>
          <w:tcPr>
            <w:tcW w:w="1263" w:type="dxa"/>
            <w:shd w:val="clear" w:color="auto" w:fill="auto"/>
            <w:tcMar>
              <w:top w:w="0" w:type="dxa"/>
              <w:left w:w="0" w:type="dxa"/>
              <w:bottom w:w="0" w:type="dxa"/>
              <w:right w:w="0" w:type="dxa"/>
            </w:tcMar>
            <w:vAlign w:val="center"/>
          </w:tcPr>
          <w:p w14:paraId="3A2FBA92" w14:textId="77777777" w:rsidR="00B317A8" w:rsidRPr="00B317A8" w:rsidRDefault="00B317A8" w:rsidP="00846313">
            <w:pPr>
              <w:pStyle w:val="Body"/>
              <w:rPr>
                <w:sz w:val="20"/>
                <w:szCs w:val="20"/>
              </w:rPr>
            </w:pPr>
            <w:r w:rsidRPr="00B317A8">
              <w:rPr>
                <w:sz w:val="20"/>
                <w:szCs w:val="20"/>
              </w:rPr>
              <w:t>5%</w:t>
            </w:r>
          </w:p>
        </w:tc>
        <w:tc>
          <w:tcPr>
            <w:tcW w:w="1263" w:type="dxa"/>
            <w:shd w:val="clear" w:color="auto" w:fill="auto"/>
            <w:tcMar>
              <w:top w:w="0" w:type="dxa"/>
              <w:left w:w="0" w:type="dxa"/>
              <w:bottom w:w="0" w:type="dxa"/>
              <w:right w:w="0" w:type="dxa"/>
            </w:tcMar>
            <w:vAlign w:val="center"/>
          </w:tcPr>
          <w:p w14:paraId="541557D1" w14:textId="77777777" w:rsidR="00B317A8" w:rsidRPr="00B317A8" w:rsidRDefault="00B317A8" w:rsidP="00846313">
            <w:pPr>
              <w:pStyle w:val="Body"/>
              <w:rPr>
                <w:sz w:val="20"/>
                <w:szCs w:val="20"/>
              </w:rPr>
            </w:pPr>
            <w:r w:rsidRPr="00B317A8">
              <w:rPr>
                <w:sz w:val="20"/>
                <w:szCs w:val="20"/>
              </w:rPr>
              <w:t>10%</w:t>
            </w:r>
          </w:p>
        </w:tc>
        <w:tc>
          <w:tcPr>
            <w:tcW w:w="1263" w:type="dxa"/>
            <w:shd w:val="clear" w:color="auto" w:fill="auto"/>
            <w:tcMar>
              <w:top w:w="0" w:type="dxa"/>
              <w:left w:w="0" w:type="dxa"/>
              <w:bottom w:w="0" w:type="dxa"/>
              <w:right w:w="0" w:type="dxa"/>
            </w:tcMar>
            <w:vAlign w:val="center"/>
          </w:tcPr>
          <w:p w14:paraId="51D6D287" w14:textId="77777777" w:rsidR="00B317A8" w:rsidRPr="00B317A8" w:rsidRDefault="00B317A8" w:rsidP="00846313">
            <w:pPr>
              <w:pStyle w:val="Body"/>
              <w:rPr>
                <w:sz w:val="20"/>
                <w:szCs w:val="20"/>
              </w:rPr>
            </w:pPr>
            <w:r w:rsidRPr="00B317A8">
              <w:rPr>
                <w:sz w:val="20"/>
                <w:szCs w:val="20"/>
              </w:rPr>
              <w:t>2%</w:t>
            </w:r>
          </w:p>
        </w:tc>
      </w:tr>
      <w:tr w:rsidR="00B317A8" w:rsidRPr="0041722C" w14:paraId="2682046A"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69A04199" w14:textId="77777777" w:rsidR="00B317A8" w:rsidRPr="00B317A8" w:rsidRDefault="00B317A8" w:rsidP="00846313">
            <w:pPr>
              <w:pStyle w:val="Body"/>
              <w:rPr>
                <w:sz w:val="20"/>
                <w:szCs w:val="20"/>
              </w:rPr>
            </w:pPr>
            <w:r w:rsidRPr="00B317A8">
              <w:rPr>
                <w:sz w:val="20"/>
                <w:szCs w:val="20"/>
              </w:rPr>
              <w:t>% Hard-pressed living (8)</w:t>
            </w:r>
          </w:p>
        </w:tc>
        <w:tc>
          <w:tcPr>
            <w:tcW w:w="1263" w:type="dxa"/>
            <w:shd w:val="clear" w:color="auto" w:fill="auto"/>
            <w:tcMar>
              <w:top w:w="0" w:type="dxa"/>
              <w:left w:w="0" w:type="dxa"/>
              <w:bottom w:w="0" w:type="dxa"/>
              <w:right w:w="0" w:type="dxa"/>
            </w:tcMar>
            <w:vAlign w:val="center"/>
          </w:tcPr>
          <w:p w14:paraId="44016D43" w14:textId="77777777" w:rsidR="00B317A8" w:rsidRPr="00B317A8" w:rsidRDefault="00B317A8" w:rsidP="00846313">
            <w:pPr>
              <w:pStyle w:val="Body"/>
              <w:rPr>
                <w:sz w:val="20"/>
                <w:szCs w:val="20"/>
              </w:rPr>
            </w:pPr>
            <w:r w:rsidRPr="00B317A8">
              <w:rPr>
                <w:sz w:val="20"/>
                <w:szCs w:val="20"/>
              </w:rPr>
              <w:t>4%</w:t>
            </w:r>
          </w:p>
        </w:tc>
        <w:tc>
          <w:tcPr>
            <w:tcW w:w="1263" w:type="dxa"/>
            <w:shd w:val="clear" w:color="auto" w:fill="auto"/>
            <w:tcMar>
              <w:top w:w="0" w:type="dxa"/>
              <w:left w:w="0" w:type="dxa"/>
              <w:bottom w:w="0" w:type="dxa"/>
              <w:right w:w="0" w:type="dxa"/>
            </w:tcMar>
            <w:vAlign w:val="center"/>
          </w:tcPr>
          <w:p w14:paraId="05C985A6" w14:textId="77777777" w:rsidR="00B317A8" w:rsidRPr="00B317A8" w:rsidRDefault="00B317A8" w:rsidP="00846313">
            <w:pPr>
              <w:pStyle w:val="Body"/>
              <w:rPr>
                <w:sz w:val="20"/>
                <w:szCs w:val="20"/>
              </w:rPr>
            </w:pPr>
            <w:r w:rsidRPr="00B317A8">
              <w:rPr>
                <w:sz w:val="20"/>
                <w:szCs w:val="20"/>
              </w:rPr>
              <w:t>12%</w:t>
            </w:r>
          </w:p>
        </w:tc>
        <w:tc>
          <w:tcPr>
            <w:tcW w:w="1263" w:type="dxa"/>
            <w:shd w:val="clear" w:color="auto" w:fill="auto"/>
            <w:tcMar>
              <w:top w:w="0" w:type="dxa"/>
              <w:left w:w="0" w:type="dxa"/>
              <w:bottom w:w="0" w:type="dxa"/>
              <w:right w:w="0" w:type="dxa"/>
            </w:tcMar>
            <w:vAlign w:val="center"/>
          </w:tcPr>
          <w:p w14:paraId="1F18F0C5" w14:textId="77777777" w:rsidR="00B317A8" w:rsidRPr="00B317A8" w:rsidRDefault="00B317A8" w:rsidP="00846313">
            <w:pPr>
              <w:pStyle w:val="Body"/>
              <w:rPr>
                <w:sz w:val="20"/>
                <w:szCs w:val="20"/>
              </w:rPr>
            </w:pPr>
            <w:r w:rsidRPr="00B317A8">
              <w:rPr>
                <w:sz w:val="20"/>
                <w:szCs w:val="20"/>
              </w:rPr>
              <w:t>13%</w:t>
            </w:r>
          </w:p>
        </w:tc>
        <w:tc>
          <w:tcPr>
            <w:tcW w:w="1263" w:type="dxa"/>
            <w:shd w:val="clear" w:color="auto" w:fill="auto"/>
            <w:tcMar>
              <w:top w:w="0" w:type="dxa"/>
              <w:left w:w="0" w:type="dxa"/>
              <w:bottom w:w="0" w:type="dxa"/>
              <w:right w:w="0" w:type="dxa"/>
            </w:tcMar>
            <w:vAlign w:val="center"/>
          </w:tcPr>
          <w:p w14:paraId="1AD989A3" w14:textId="77777777" w:rsidR="00B317A8" w:rsidRPr="00B317A8" w:rsidRDefault="00B317A8" w:rsidP="00846313">
            <w:pPr>
              <w:pStyle w:val="Body"/>
              <w:rPr>
                <w:sz w:val="20"/>
                <w:szCs w:val="20"/>
              </w:rPr>
            </w:pPr>
            <w:r w:rsidRPr="00B317A8">
              <w:rPr>
                <w:sz w:val="20"/>
                <w:szCs w:val="20"/>
              </w:rPr>
              <w:t>12%</w:t>
            </w:r>
          </w:p>
        </w:tc>
      </w:tr>
      <w:tr w:rsidR="00B317A8" w:rsidRPr="0041722C" w14:paraId="7955E5BA"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64F013F2" w14:textId="77777777" w:rsidR="00B317A8" w:rsidRPr="00B317A8" w:rsidRDefault="00B317A8" w:rsidP="00846313">
            <w:pPr>
              <w:pStyle w:val="Body"/>
              <w:rPr>
                <w:sz w:val="20"/>
                <w:szCs w:val="20"/>
              </w:rPr>
            </w:pPr>
            <w:r w:rsidRPr="00B317A8">
              <w:rPr>
                <w:sz w:val="20"/>
                <w:szCs w:val="20"/>
              </w:rPr>
              <w:t>% of housing built pre 1950</w:t>
            </w:r>
          </w:p>
        </w:tc>
        <w:tc>
          <w:tcPr>
            <w:tcW w:w="1263" w:type="dxa"/>
            <w:shd w:val="clear" w:color="auto" w:fill="auto"/>
            <w:tcMar>
              <w:top w:w="0" w:type="dxa"/>
              <w:left w:w="0" w:type="dxa"/>
              <w:bottom w:w="0" w:type="dxa"/>
              <w:right w:w="0" w:type="dxa"/>
            </w:tcMar>
            <w:vAlign w:val="center"/>
          </w:tcPr>
          <w:p w14:paraId="693A2904" w14:textId="77777777" w:rsidR="00B317A8" w:rsidRPr="00B317A8" w:rsidRDefault="00B317A8" w:rsidP="00846313">
            <w:pPr>
              <w:pStyle w:val="Body"/>
              <w:rPr>
                <w:sz w:val="20"/>
                <w:szCs w:val="20"/>
              </w:rPr>
            </w:pPr>
            <w:r w:rsidRPr="00B317A8">
              <w:rPr>
                <w:sz w:val="20"/>
                <w:szCs w:val="20"/>
              </w:rPr>
              <w:t>58%</w:t>
            </w:r>
          </w:p>
        </w:tc>
        <w:tc>
          <w:tcPr>
            <w:tcW w:w="1263" w:type="dxa"/>
            <w:shd w:val="clear" w:color="auto" w:fill="auto"/>
            <w:tcMar>
              <w:top w:w="0" w:type="dxa"/>
              <w:left w:w="0" w:type="dxa"/>
              <w:bottom w:w="0" w:type="dxa"/>
              <w:right w:w="0" w:type="dxa"/>
            </w:tcMar>
            <w:vAlign w:val="center"/>
          </w:tcPr>
          <w:p w14:paraId="77447330" w14:textId="77777777" w:rsidR="00B317A8" w:rsidRPr="00B317A8" w:rsidRDefault="00B317A8" w:rsidP="00846313">
            <w:pPr>
              <w:pStyle w:val="Body"/>
              <w:rPr>
                <w:sz w:val="20"/>
                <w:szCs w:val="20"/>
              </w:rPr>
            </w:pPr>
            <w:r w:rsidRPr="00B317A8">
              <w:rPr>
                <w:sz w:val="20"/>
                <w:szCs w:val="20"/>
              </w:rPr>
              <w:t>49%</w:t>
            </w:r>
          </w:p>
        </w:tc>
        <w:tc>
          <w:tcPr>
            <w:tcW w:w="1263" w:type="dxa"/>
            <w:shd w:val="clear" w:color="auto" w:fill="auto"/>
            <w:tcMar>
              <w:top w:w="0" w:type="dxa"/>
              <w:left w:w="0" w:type="dxa"/>
              <w:bottom w:w="0" w:type="dxa"/>
              <w:right w:w="0" w:type="dxa"/>
            </w:tcMar>
            <w:vAlign w:val="center"/>
          </w:tcPr>
          <w:p w14:paraId="1803F87E" w14:textId="77777777" w:rsidR="00B317A8" w:rsidRPr="00B317A8" w:rsidRDefault="00B317A8" w:rsidP="00846313">
            <w:pPr>
              <w:pStyle w:val="Body"/>
              <w:rPr>
                <w:sz w:val="20"/>
                <w:szCs w:val="20"/>
              </w:rPr>
            </w:pPr>
            <w:r w:rsidRPr="00B317A8">
              <w:rPr>
                <w:sz w:val="20"/>
                <w:szCs w:val="20"/>
              </w:rPr>
              <w:t>49%</w:t>
            </w:r>
          </w:p>
        </w:tc>
        <w:tc>
          <w:tcPr>
            <w:tcW w:w="1263" w:type="dxa"/>
            <w:shd w:val="clear" w:color="auto" w:fill="auto"/>
            <w:tcMar>
              <w:top w:w="0" w:type="dxa"/>
              <w:left w:w="0" w:type="dxa"/>
              <w:bottom w:w="0" w:type="dxa"/>
              <w:right w:w="0" w:type="dxa"/>
            </w:tcMar>
            <w:vAlign w:val="center"/>
          </w:tcPr>
          <w:p w14:paraId="6B60BD95" w14:textId="77777777" w:rsidR="00B317A8" w:rsidRPr="00B317A8" w:rsidRDefault="00B317A8" w:rsidP="00846313">
            <w:pPr>
              <w:pStyle w:val="Body"/>
              <w:rPr>
                <w:sz w:val="20"/>
                <w:szCs w:val="20"/>
              </w:rPr>
            </w:pPr>
            <w:r w:rsidRPr="00B317A8">
              <w:rPr>
                <w:sz w:val="20"/>
                <w:szCs w:val="20"/>
              </w:rPr>
              <w:t>58%</w:t>
            </w:r>
          </w:p>
        </w:tc>
      </w:tr>
      <w:tr w:rsidR="00B317A8" w:rsidRPr="0041722C" w14:paraId="539B8C77"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6F5B0049" w14:textId="77777777" w:rsidR="00B317A8" w:rsidRPr="00B317A8" w:rsidRDefault="00B317A8" w:rsidP="00846313">
            <w:pPr>
              <w:pStyle w:val="Body"/>
              <w:rPr>
                <w:sz w:val="20"/>
                <w:szCs w:val="20"/>
              </w:rPr>
            </w:pPr>
            <w:r w:rsidRPr="00B317A8">
              <w:rPr>
                <w:sz w:val="20"/>
                <w:szCs w:val="20"/>
              </w:rPr>
              <w:t>Further/Higher Education</w:t>
            </w:r>
          </w:p>
        </w:tc>
        <w:tc>
          <w:tcPr>
            <w:tcW w:w="1263" w:type="dxa"/>
            <w:shd w:val="clear" w:color="auto" w:fill="auto"/>
            <w:tcMar>
              <w:top w:w="0" w:type="dxa"/>
              <w:left w:w="0" w:type="dxa"/>
              <w:bottom w:w="0" w:type="dxa"/>
              <w:right w:w="0" w:type="dxa"/>
            </w:tcMar>
            <w:vAlign w:val="center"/>
          </w:tcPr>
          <w:p w14:paraId="1126EA22" w14:textId="77777777" w:rsidR="00B317A8" w:rsidRPr="00B317A8" w:rsidRDefault="00B317A8" w:rsidP="00846313">
            <w:pPr>
              <w:pStyle w:val="Body"/>
              <w:rPr>
                <w:sz w:val="20"/>
                <w:szCs w:val="20"/>
              </w:rPr>
            </w:pPr>
            <w:r w:rsidRPr="00B317A8">
              <w:rPr>
                <w:sz w:val="20"/>
                <w:szCs w:val="20"/>
              </w:rPr>
              <w:t>8</w:t>
            </w:r>
          </w:p>
        </w:tc>
        <w:tc>
          <w:tcPr>
            <w:tcW w:w="1263" w:type="dxa"/>
            <w:shd w:val="clear" w:color="auto" w:fill="auto"/>
            <w:tcMar>
              <w:top w:w="0" w:type="dxa"/>
              <w:left w:w="0" w:type="dxa"/>
              <w:bottom w:w="0" w:type="dxa"/>
              <w:right w:w="0" w:type="dxa"/>
            </w:tcMar>
            <w:vAlign w:val="center"/>
          </w:tcPr>
          <w:p w14:paraId="1CF0C656" w14:textId="77777777" w:rsidR="00B317A8" w:rsidRPr="00B317A8" w:rsidRDefault="00B317A8" w:rsidP="00846313">
            <w:pPr>
              <w:pStyle w:val="Body"/>
              <w:rPr>
                <w:sz w:val="20"/>
                <w:szCs w:val="20"/>
              </w:rPr>
            </w:pPr>
            <w:r w:rsidRPr="00B317A8">
              <w:rPr>
                <w:sz w:val="20"/>
                <w:szCs w:val="20"/>
              </w:rPr>
              <w:t>5</w:t>
            </w:r>
          </w:p>
        </w:tc>
        <w:tc>
          <w:tcPr>
            <w:tcW w:w="1263" w:type="dxa"/>
            <w:shd w:val="clear" w:color="auto" w:fill="auto"/>
            <w:tcMar>
              <w:top w:w="0" w:type="dxa"/>
              <w:left w:w="0" w:type="dxa"/>
              <w:bottom w:w="0" w:type="dxa"/>
              <w:right w:w="0" w:type="dxa"/>
            </w:tcMar>
            <w:vAlign w:val="center"/>
          </w:tcPr>
          <w:p w14:paraId="5BF59C9E" w14:textId="77777777" w:rsidR="00B317A8" w:rsidRPr="00B317A8" w:rsidRDefault="00B317A8" w:rsidP="00846313">
            <w:pPr>
              <w:pStyle w:val="Body"/>
              <w:rPr>
                <w:sz w:val="20"/>
                <w:szCs w:val="20"/>
              </w:rPr>
            </w:pPr>
            <w:r w:rsidRPr="00B317A8">
              <w:rPr>
                <w:sz w:val="20"/>
                <w:szCs w:val="20"/>
              </w:rPr>
              <w:t>7</w:t>
            </w:r>
          </w:p>
        </w:tc>
        <w:tc>
          <w:tcPr>
            <w:tcW w:w="1263" w:type="dxa"/>
            <w:shd w:val="clear" w:color="auto" w:fill="auto"/>
            <w:tcMar>
              <w:top w:w="0" w:type="dxa"/>
              <w:left w:w="0" w:type="dxa"/>
              <w:bottom w:w="0" w:type="dxa"/>
              <w:right w:w="0" w:type="dxa"/>
            </w:tcMar>
            <w:vAlign w:val="center"/>
          </w:tcPr>
          <w:p w14:paraId="78864F42" w14:textId="77777777" w:rsidR="00B317A8" w:rsidRPr="00B317A8" w:rsidRDefault="00B317A8" w:rsidP="00846313">
            <w:pPr>
              <w:pStyle w:val="Body"/>
              <w:rPr>
                <w:sz w:val="20"/>
                <w:szCs w:val="20"/>
              </w:rPr>
            </w:pPr>
            <w:r w:rsidRPr="00B317A8">
              <w:rPr>
                <w:sz w:val="20"/>
                <w:szCs w:val="20"/>
              </w:rPr>
              <w:t>6</w:t>
            </w:r>
          </w:p>
        </w:tc>
      </w:tr>
      <w:tr w:rsidR="00B317A8" w:rsidRPr="0041722C" w14:paraId="21721F6A"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116883E1" w14:textId="77777777" w:rsidR="00B317A8" w:rsidRPr="00B317A8" w:rsidRDefault="00B317A8" w:rsidP="00846313">
            <w:pPr>
              <w:pStyle w:val="Body"/>
              <w:rPr>
                <w:sz w:val="20"/>
                <w:szCs w:val="20"/>
              </w:rPr>
            </w:pPr>
            <w:r w:rsidRPr="00B317A8">
              <w:rPr>
                <w:sz w:val="20"/>
                <w:szCs w:val="20"/>
              </w:rPr>
              <w:t>Secondary Education</w:t>
            </w:r>
          </w:p>
        </w:tc>
        <w:tc>
          <w:tcPr>
            <w:tcW w:w="1263" w:type="dxa"/>
            <w:shd w:val="clear" w:color="auto" w:fill="auto"/>
            <w:tcMar>
              <w:top w:w="0" w:type="dxa"/>
              <w:left w:w="0" w:type="dxa"/>
              <w:bottom w:w="0" w:type="dxa"/>
              <w:right w:w="0" w:type="dxa"/>
            </w:tcMar>
            <w:vAlign w:val="center"/>
          </w:tcPr>
          <w:p w14:paraId="71980FA0" w14:textId="77777777" w:rsidR="00B317A8" w:rsidRPr="00B317A8" w:rsidRDefault="00B317A8" w:rsidP="00846313">
            <w:pPr>
              <w:pStyle w:val="Body"/>
              <w:rPr>
                <w:sz w:val="20"/>
                <w:szCs w:val="20"/>
              </w:rPr>
            </w:pPr>
            <w:r w:rsidRPr="00B317A8">
              <w:rPr>
                <w:sz w:val="20"/>
                <w:szCs w:val="20"/>
              </w:rPr>
              <w:t>2</w:t>
            </w:r>
          </w:p>
        </w:tc>
        <w:tc>
          <w:tcPr>
            <w:tcW w:w="1263" w:type="dxa"/>
            <w:shd w:val="clear" w:color="auto" w:fill="auto"/>
            <w:tcMar>
              <w:top w:w="0" w:type="dxa"/>
              <w:left w:w="0" w:type="dxa"/>
              <w:bottom w:w="0" w:type="dxa"/>
              <w:right w:w="0" w:type="dxa"/>
            </w:tcMar>
            <w:vAlign w:val="center"/>
          </w:tcPr>
          <w:p w14:paraId="719C5280" w14:textId="77777777" w:rsidR="00B317A8" w:rsidRPr="00B317A8" w:rsidRDefault="00B317A8" w:rsidP="00846313">
            <w:pPr>
              <w:pStyle w:val="Body"/>
              <w:rPr>
                <w:sz w:val="20"/>
                <w:szCs w:val="20"/>
              </w:rPr>
            </w:pPr>
            <w:r w:rsidRPr="00B317A8">
              <w:rPr>
                <w:sz w:val="20"/>
                <w:szCs w:val="20"/>
              </w:rPr>
              <w:t>3</w:t>
            </w:r>
          </w:p>
        </w:tc>
        <w:tc>
          <w:tcPr>
            <w:tcW w:w="1263" w:type="dxa"/>
            <w:shd w:val="clear" w:color="auto" w:fill="auto"/>
            <w:tcMar>
              <w:top w:w="0" w:type="dxa"/>
              <w:left w:w="0" w:type="dxa"/>
              <w:bottom w:w="0" w:type="dxa"/>
              <w:right w:w="0" w:type="dxa"/>
            </w:tcMar>
            <w:vAlign w:val="center"/>
          </w:tcPr>
          <w:p w14:paraId="1515EF90" w14:textId="77777777" w:rsidR="00B317A8" w:rsidRPr="00B317A8" w:rsidRDefault="00B317A8" w:rsidP="00846313">
            <w:pPr>
              <w:pStyle w:val="Body"/>
              <w:rPr>
                <w:sz w:val="20"/>
                <w:szCs w:val="20"/>
              </w:rPr>
            </w:pPr>
            <w:r w:rsidRPr="00B317A8">
              <w:rPr>
                <w:sz w:val="20"/>
                <w:szCs w:val="20"/>
              </w:rPr>
              <w:t>2</w:t>
            </w:r>
          </w:p>
        </w:tc>
        <w:tc>
          <w:tcPr>
            <w:tcW w:w="1263" w:type="dxa"/>
            <w:shd w:val="clear" w:color="auto" w:fill="auto"/>
            <w:tcMar>
              <w:top w:w="0" w:type="dxa"/>
              <w:left w:w="0" w:type="dxa"/>
              <w:bottom w:w="0" w:type="dxa"/>
              <w:right w:w="0" w:type="dxa"/>
            </w:tcMar>
            <w:vAlign w:val="center"/>
          </w:tcPr>
          <w:p w14:paraId="059432EB" w14:textId="77777777" w:rsidR="00B317A8" w:rsidRPr="00B317A8" w:rsidRDefault="00B317A8" w:rsidP="00846313">
            <w:pPr>
              <w:pStyle w:val="Body"/>
              <w:rPr>
                <w:sz w:val="20"/>
                <w:szCs w:val="20"/>
              </w:rPr>
            </w:pPr>
            <w:r w:rsidRPr="00B317A8">
              <w:rPr>
                <w:sz w:val="20"/>
                <w:szCs w:val="20"/>
              </w:rPr>
              <w:t>4</w:t>
            </w:r>
          </w:p>
        </w:tc>
      </w:tr>
      <w:tr w:rsidR="00B317A8" w:rsidRPr="0041722C" w14:paraId="2C123738"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322BE845" w14:textId="77777777" w:rsidR="00B317A8" w:rsidRPr="00B317A8" w:rsidRDefault="00B317A8" w:rsidP="00846313">
            <w:pPr>
              <w:pStyle w:val="Body"/>
              <w:rPr>
                <w:sz w:val="20"/>
                <w:szCs w:val="20"/>
              </w:rPr>
            </w:pPr>
            <w:r w:rsidRPr="00B317A8">
              <w:rPr>
                <w:sz w:val="20"/>
                <w:szCs w:val="20"/>
              </w:rPr>
              <w:t>Primary Education</w:t>
            </w:r>
          </w:p>
        </w:tc>
        <w:tc>
          <w:tcPr>
            <w:tcW w:w="1263" w:type="dxa"/>
            <w:shd w:val="clear" w:color="auto" w:fill="auto"/>
            <w:tcMar>
              <w:top w:w="0" w:type="dxa"/>
              <w:left w:w="0" w:type="dxa"/>
              <w:bottom w:w="0" w:type="dxa"/>
              <w:right w:w="0" w:type="dxa"/>
            </w:tcMar>
            <w:vAlign w:val="center"/>
          </w:tcPr>
          <w:p w14:paraId="597A72D6" w14:textId="77777777" w:rsidR="00B317A8" w:rsidRPr="00B317A8" w:rsidRDefault="00B317A8" w:rsidP="00846313">
            <w:pPr>
              <w:pStyle w:val="Body"/>
              <w:rPr>
                <w:sz w:val="20"/>
                <w:szCs w:val="20"/>
              </w:rPr>
            </w:pPr>
            <w:r w:rsidRPr="00B317A8">
              <w:rPr>
                <w:sz w:val="20"/>
                <w:szCs w:val="20"/>
              </w:rPr>
              <w:t>14</w:t>
            </w:r>
          </w:p>
        </w:tc>
        <w:tc>
          <w:tcPr>
            <w:tcW w:w="1263" w:type="dxa"/>
            <w:shd w:val="clear" w:color="auto" w:fill="auto"/>
            <w:tcMar>
              <w:top w:w="0" w:type="dxa"/>
              <w:left w:w="0" w:type="dxa"/>
              <w:bottom w:w="0" w:type="dxa"/>
              <w:right w:w="0" w:type="dxa"/>
            </w:tcMar>
            <w:vAlign w:val="center"/>
          </w:tcPr>
          <w:p w14:paraId="4994586E" w14:textId="77777777" w:rsidR="00B317A8" w:rsidRPr="00B317A8" w:rsidRDefault="00B317A8" w:rsidP="00846313">
            <w:pPr>
              <w:pStyle w:val="Body"/>
              <w:rPr>
                <w:sz w:val="20"/>
                <w:szCs w:val="20"/>
              </w:rPr>
            </w:pPr>
            <w:r w:rsidRPr="00B317A8">
              <w:rPr>
                <w:sz w:val="20"/>
                <w:szCs w:val="20"/>
              </w:rPr>
              <w:t>19</w:t>
            </w:r>
          </w:p>
        </w:tc>
        <w:tc>
          <w:tcPr>
            <w:tcW w:w="1263" w:type="dxa"/>
            <w:shd w:val="clear" w:color="auto" w:fill="auto"/>
            <w:tcMar>
              <w:top w:w="0" w:type="dxa"/>
              <w:left w:w="0" w:type="dxa"/>
              <w:bottom w:w="0" w:type="dxa"/>
              <w:right w:w="0" w:type="dxa"/>
            </w:tcMar>
            <w:vAlign w:val="center"/>
          </w:tcPr>
          <w:p w14:paraId="5B1141E3" w14:textId="77777777" w:rsidR="00B317A8" w:rsidRPr="00B317A8" w:rsidRDefault="00B317A8" w:rsidP="00846313">
            <w:pPr>
              <w:pStyle w:val="Body"/>
              <w:rPr>
                <w:sz w:val="20"/>
                <w:szCs w:val="20"/>
              </w:rPr>
            </w:pPr>
            <w:r w:rsidRPr="00B317A8">
              <w:rPr>
                <w:sz w:val="20"/>
                <w:szCs w:val="20"/>
              </w:rPr>
              <w:t>13</w:t>
            </w:r>
          </w:p>
        </w:tc>
        <w:tc>
          <w:tcPr>
            <w:tcW w:w="1263" w:type="dxa"/>
            <w:shd w:val="clear" w:color="auto" w:fill="auto"/>
            <w:tcMar>
              <w:top w:w="0" w:type="dxa"/>
              <w:left w:w="0" w:type="dxa"/>
              <w:bottom w:w="0" w:type="dxa"/>
              <w:right w:w="0" w:type="dxa"/>
            </w:tcMar>
            <w:vAlign w:val="center"/>
          </w:tcPr>
          <w:p w14:paraId="401977B5" w14:textId="77777777" w:rsidR="00B317A8" w:rsidRPr="00B317A8" w:rsidRDefault="00B317A8" w:rsidP="00846313">
            <w:pPr>
              <w:pStyle w:val="Body"/>
              <w:rPr>
                <w:sz w:val="20"/>
                <w:szCs w:val="20"/>
              </w:rPr>
            </w:pPr>
            <w:r w:rsidRPr="00B317A8">
              <w:rPr>
                <w:sz w:val="20"/>
                <w:szCs w:val="20"/>
              </w:rPr>
              <w:t>15</w:t>
            </w:r>
          </w:p>
        </w:tc>
      </w:tr>
      <w:tr w:rsidR="00B317A8" w:rsidRPr="0041722C" w14:paraId="0B23F093"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51DD185D" w14:textId="77777777" w:rsidR="00B317A8" w:rsidRPr="00B317A8" w:rsidRDefault="00B317A8" w:rsidP="00846313">
            <w:pPr>
              <w:pStyle w:val="Body"/>
              <w:rPr>
                <w:sz w:val="20"/>
                <w:szCs w:val="20"/>
              </w:rPr>
            </w:pPr>
            <w:r w:rsidRPr="00B317A8">
              <w:rPr>
                <w:sz w:val="20"/>
                <w:szCs w:val="20"/>
              </w:rPr>
              <w:t>Healthcare/Medical</w:t>
            </w:r>
          </w:p>
        </w:tc>
        <w:tc>
          <w:tcPr>
            <w:tcW w:w="1263" w:type="dxa"/>
            <w:shd w:val="clear" w:color="auto" w:fill="auto"/>
            <w:tcMar>
              <w:top w:w="0" w:type="dxa"/>
              <w:left w:w="0" w:type="dxa"/>
              <w:bottom w:w="0" w:type="dxa"/>
              <w:right w:w="0" w:type="dxa"/>
            </w:tcMar>
            <w:vAlign w:val="center"/>
          </w:tcPr>
          <w:p w14:paraId="29FC8A64" w14:textId="77777777" w:rsidR="00B317A8" w:rsidRPr="00B317A8" w:rsidRDefault="00B317A8" w:rsidP="00846313">
            <w:pPr>
              <w:pStyle w:val="Body"/>
              <w:rPr>
                <w:sz w:val="20"/>
                <w:szCs w:val="20"/>
              </w:rPr>
            </w:pPr>
            <w:r w:rsidRPr="00B317A8">
              <w:rPr>
                <w:sz w:val="20"/>
                <w:szCs w:val="20"/>
              </w:rPr>
              <w:t>11</w:t>
            </w:r>
          </w:p>
        </w:tc>
        <w:tc>
          <w:tcPr>
            <w:tcW w:w="1263" w:type="dxa"/>
            <w:shd w:val="clear" w:color="auto" w:fill="auto"/>
            <w:tcMar>
              <w:top w:w="0" w:type="dxa"/>
              <w:left w:w="0" w:type="dxa"/>
              <w:bottom w:w="0" w:type="dxa"/>
              <w:right w:w="0" w:type="dxa"/>
            </w:tcMar>
            <w:vAlign w:val="center"/>
          </w:tcPr>
          <w:p w14:paraId="5855F9AA" w14:textId="77777777" w:rsidR="00B317A8" w:rsidRPr="00B317A8" w:rsidRDefault="00B317A8" w:rsidP="00846313">
            <w:pPr>
              <w:pStyle w:val="Body"/>
              <w:rPr>
                <w:sz w:val="20"/>
                <w:szCs w:val="20"/>
              </w:rPr>
            </w:pPr>
            <w:r w:rsidRPr="00B317A8">
              <w:rPr>
                <w:sz w:val="20"/>
                <w:szCs w:val="20"/>
              </w:rPr>
              <w:t>12</w:t>
            </w:r>
          </w:p>
        </w:tc>
        <w:tc>
          <w:tcPr>
            <w:tcW w:w="1263" w:type="dxa"/>
            <w:shd w:val="clear" w:color="auto" w:fill="auto"/>
            <w:tcMar>
              <w:top w:w="0" w:type="dxa"/>
              <w:left w:w="0" w:type="dxa"/>
              <w:bottom w:w="0" w:type="dxa"/>
              <w:right w:w="0" w:type="dxa"/>
            </w:tcMar>
            <w:vAlign w:val="center"/>
          </w:tcPr>
          <w:p w14:paraId="7557D8B4" w14:textId="77777777" w:rsidR="00B317A8" w:rsidRPr="00B317A8" w:rsidRDefault="00B317A8" w:rsidP="00846313">
            <w:pPr>
              <w:pStyle w:val="Body"/>
              <w:rPr>
                <w:sz w:val="20"/>
                <w:szCs w:val="20"/>
              </w:rPr>
            </w:pPr>
            <w:r w:rsidRPr="00B317A8">
              <w:rPr>
                <w:sz w:val="20"/>
                <w:szCs w:val="20"/>
              </w:rPr>
              <w:t>15</w:t>
            </w:r>
          </w:p>
        </w:tc>
        <w:tc>
          <w:tcPr>
            <w:tcW w:w="1263" w:type="dxa"/>
            <w:shd w:val="clear" w:color="auto" w:fill="auto"/>
            <w:tcMar>
              <w:top w:w="0" w:type="dxa"/>
              <w:left w:w="0" w:type="dxa"/>
              <w:bottom w:w="0" w:type="dxa"/>
              <w:right w:w="0" w:type="dxa"/>
            </w:tcMar>
            <w:vAlign w:val="center"/>
          </w:tcPr>
          <w:p w14:paraId="46216B73" w14:textId="77777777" w:rsidR="00B317A8" w:rsidRPr="00B317A8" w:rsidRDefault="00B317A8" w:rsidP="00846313">
            <w:pPr>
              <w:pStyle w:val="Body"/>
              <w:rPr>
                <w:sz w:val="20"/>
                <w:szCs w:val="20"/>
              </w:rPr>
            </w:pPr>
            <w:r w:rsidRPr="00B317A8">
              <w:rPr>
                <w:sz w:val="20"/>
                <w:szCs w:val="20"/>
              </w:rPr>
              <w:t>13</w:t>
            </w:r>
          </w:p>
        </w:tc>
      </w:tr>
      <w:tr w:rsidR="00B317A8" w:rsidRPr="0041722C" w14:paraId="72615D5F"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7CD0EA0D" w14:textId="77777777" w:rsidR="00B317A8" w:rsidRPr="00B317A8" w:rsidRDefault="00B317A8" w:rsidP="00846313">
            <w:pPr>
              <w:pStyle w:val="Body"/>
              <w:rPr>
                <w:sz w:val="20"/>
                <w:szCs w:val="20"/>
              </w:rPr>
            </w:pPr>
            <w:r w:rsidRPr="00B317A8">
              <w:rPr>
                <w:sz w:val="20"/>
                <w:szCs w:val="20"/>
              </w:rPr>
              <w:t>Park/Woodland</w:t>
            </w:r>
          </w:p>
        </w:tc>
        <w:tc>
          <w:tcPr>
            <w:tcW w:w="1263" w:type="dxa"/>
            <w:shd w:val="clear" w:color="auto" w:fill="auto"/>
            <w:tcMar>
              <w:top w:w="0" w:type="dxa"/>
              <w:left w:w="0" w:type="dxa"/>
              <w:bottom w:w="0" w:type="dxa"/>
              <w:right w:w="0" w:type="dxa"/>
            </w:tcMar>
            <w:vAlign w:val="center"/>
          </w:tcPr>
          <w:p w14:paraId="75AFECD4" w14:textId="77777777" w:rsidR="00B317A8" w:rsidRPr="00B317A8" w:rsidRDefault="00B317A8" w:rsidP="00846313">
            <w:pPr>
              <w:pStyle w:val="Body"/>
              <w:rPr>
                <w:sz w:val="20"/>
                <w:szCs w:val="20"/>
              </w:rPr>
            </w:pPr>
            <w:r w:rsidRPr="00B317A8">
              <w:rPr>
                <w:sz w:val="20"/>
                <w:szCs w:val="20"/>
              </w:rPr>
              <w:t>57</w:t>
            </w:r>
          </w:p>
        </w:tc>
        <w:tc>
          <w:tcPr>
            <w:tcW w:w="1263" w:type="dxa"/>
            <w:shd w:val="clear" w:color="auto" w:fill="auto"/>
            <w:tcMar>
              <w:top w:w="0" w:type="dxa"/>
              <w:left w:w="0" w:type="dxa"/>
              <w:bottom w:w="0" w:type="dxa"/>
              <w:right w:w="0" w:type="dxa"/>
            </w:tcMar>
            <w:vAlign w:val="center"/>
          </w:tcPr>
          <w:p w14:paraId="791D87CF" w14:textId="77777777" w:rsidR="00B317A8" w:rsidRPr="00B317A8" w:rsidRDefault="00B317A8" w:rsidP="00846313">
            <w:pPr>
              <w:pStyle w:val="Body"/>
              <w:rPr>
                <w:sz w:val="20"/>
                <w:szCs w:val="20"/>
              </w:rPr>
            </w:pPr>
            <w:r w:rsidRPr="00B317A8">
              <w:rPr>
                <w:sz w:val="20"/>
                <w:szCs w:val="20"/>
              </w:rPr>
              <w:t>68</w:t>
            </w:r>
          </w:p>
        </w:tc>
        <w:tc>
          <w:tcPr>
            <w:tcW w:w="1263" w:type="dxa"/>
            <w:shd w:val="clear" w:color="auto" w:fill="auto"/>
            <w:tcMar>
              <w:top w:w="0" w:type="dxa"/>
              <w:left w:w="0" w:type="dxa"/>
              <w:bottom w:w="0" w:type="dxa"/>
              <w:right w:w="0" w:type="dxa"/>
            </w:tcMar>
            <w:vAlign w:val="center"/>
          </w:tcPr>
          <w:p w14:paraId="7CF007B5" w14:textId="77777777" w:rsidR="00B317A8" w:rsidRPr="00B317A8" w:rsidRDefault="00B317A8" w:rsidP="00846313">
            <w:pPr>
              <w:pStyle w:val="Body"/>
              <w:rPr>
                <w:sz w:val="20"/>
                <w:szCs w:val="20"/>
              </w:rPr>
            </w:pPr>
            <w:r w:rsidRPr="00B317A8">
              <w:rPr>
                <w:sz w:val="20"/>
                <w:szCs w:val="20"/>
              </w:rPr>
              <w:t>57</w:t>
            </w:r>
          </w:p>
        </w:tc>
        <w:tc>
          <w:tcPr>
            <w:tcW w:w="1263" w:type="dxa"/>
            <w:shd w:val="clear" w:color="auto" w:fill="auto"/>
            <w:tcMar>
              <w:top w:w="0" w:type="dxa"/>
              <w:left w:w="0" w:type="dxa"/>
              <w:bottom w:w="0" w:type="dxa"/>
              <w:right w:w="0" w:type="dxa"/>
            </w:tcMar>
            <w:vAlign w:val="center"/>
          </w:tcPr>
          <w:p w14:paraId="1F64A02B" w14:textId="77777777" w:rsidR="00B317A8" w:rsidRPr="00B317A8" w:rsidRDefault="00B317A8" w:rsidP="00846313">
            <w:pPr>
              <w:pStyle w:val="Body"/>
              <w:rPr>
                <w:sz w:val="20"/>
                <w:szCs w:val="20"/>
              </w:rPr>
            </w:pPr>
            <w:r w:rsidRPr="00B317A8">
              <w:rPr>
                <w:sz w:val="20"/>
                <w:szCs w:val="20"/>
              </w:rPr>
              <w:t>74</w:t>
            </w:r>
          </w:p>
        </w:tc>
      </w:tr>
      <w:tr w:rsidR="00B317A8" w:rsidRPr="0041722C" w14:paraId="04F8F879" w14:textId="77777777" w:rsidTr="00050F11">
        <w:tblPrEx>
          <w:shd w:val="clear" w:color="auto" w:fill="D0DDEF"/>
        </w:tblPrEx>
        <w:trPr>
          <w:trHeight w:val="112"/>
        </w:trPr>
        <w:tc>
          <w:tcPr>
            <w:tcW w:w="2520" w:type="dxa"/>
            <w:shd w:val="clear" w:color="auto" w:fill="auto"/>
            <w:tcMar>
              <w:top w:w="0" w:type="dxa"/>
              <w:left w:w="0" w:type="dxa"/>
              <w:bottom w:w="0" w:type="dxa"/>
              <w:right w:w="0" w:type="dxa"/>
            </w:tcMar>
            <w:vAlign w:val="center"/>
          </w:tcPr>
          <w:p w14:paraId="1C47F7DB" w14:textId="77777777" w:rsidR="00B317A8" w:rsidRPr="00B317A8" w:rsidRDefault="00B317A8" w:rsidP="00846313">
            <w:pPr>
              <w:pStyle w:val="Body"/>
              <w:rPr>
                <w:sz w:val="20"/>
                <w:szCs w:val="20"/>
              </w:rPr>
            </w:pPr>
            <w:r w:rsidRPr="00B317A8">
              <w:rPr>
                <w:sz w:val="20"/>
                <w:szCs w:val="20"/>
              </w:rPr>
              <w:t>Similarity</w:t>
            </w:r>
          </w:p>
        </w:tc>
        <w:tc>
          <w:tcPr>
            <w:tcW w:w="1263" w:type="dxa"/>
            <w:shd w:val="clear" w:color="auto" w:fill="auto"/>
            <w:tcMar>
              <w:top w:w="0" w:type="dxa"/>
              <w:left w:w="0" w:type="dxa"/>
              <w:bottom w:w="0" w:type="dxa"/>
              <w:right w:w="0" w:type="dxa"/>
            </w:tcMar>
            <w:vAlign w:val="center"/>
          </w:tcPr>
          <w:p w14:paraId="0FFC473B" w14:textId="77777777" w:rsidR="00B317A8" w:rsidRPr="00B317A8" w:rsidRDefault="00B317A8" w:rsidP="00846313">
            <w:pPr>
              <w:pStyle w:val="Body"/>
              <w:rPr>
                <w:sz w:val="20"/>
                <w:szCs w:val="20"/>
              </w:rPr>
            </w:pPr>
            <w:r w:rsidRPr="00B317A8">
              <w:rPr>
                <w:sz w:val="20"/>
                <w:szCs w:val="20"/>
              </w:rPr>
              <w:t>-</w:t>
            </w:r>
          </w:p>
        </w:tc>
        <w:tc>
          <w:tcPr>
            <w:tcW w:w="1263" w:type="dxa"/>
            <w:shd w:val="clear" w:color="auto" w:fill="auto"/>
            <w:tcMar>
              <w:top w:w="0" w:type="dxa"/>
              <w:left w:w="0" w:type="dxa"/>
              <w:bottom w:w="0" w:type="dxa"/>
              <w:right w:w="0" w:type="dxa"/>
            </w:tcMar>
            <w:vAlign w:val="center"/>
          </w:tcPr>
          <w:p w14:paraId="5C455E86" w14:textId="77777777" w:rsidR="00B317A8" w:rsidRPr="00B317A8" w:rsidRDefault="00B317A8" w:rsidP="00846313">
            <w:pPr>
              <w:pStyle w:val="Body"/>
              <w:rPr>
                <w:b/>
                <w:sz w:val="20"/>
                <w:szCs w:val="20"/>
              </w:rPr>
            </w:pPr>
            <w:r w:rsidRPr="00B317A8">
              <w:rPr>
                <w:b/>
                <w:sz w:val="20"/>
                <w:szCs w:val="20"/>
              </w:rPr>
              <w:t>6/14</w:t>
            </w:r>
          </w:p>
        </w:tc>
        <w:tc>
          <w:tcPr>
            <w:tcW w:w="1263" w:type="dxa"/>
            <w:shd w:val="clear" w:color="auto" w:fill="auto"/>
            <w:tcMar>
              <w:top w:w="0" w:type="dxa"/>
              <w:left w:w="0" w:type="dxa"/>
              <w:bottom w:w="0" w:type="dxa"/>
              <w:right w:w="0" w:type="dxa"/>
            </w:tcMar>
            <w:vAlign w:val="center"/>
          </w:tcPr>
          <w:p w14:paraId="6C482E71" w14:textId="77777777" w:rsidR="00B317A8" w:rsidRPr="00B317A8" w:rsidRDefault="00B317A8" w:rsidP="00846313">
            <w:pPr>
              <w:pStyle w:val="Body"/>
              <w:rPr>
                <w:b/>
                <w:sz w:val="20"/>
                <w:szCs w:val="20"/>
              </w:rPr>
            </w:pPr>
            <w:r w:rsidRPr="00B317A8">
              <w:rPr>
                <w:b/>
                <w:sz w:val="20"/>
                <w:szCs w:val="20"/>
              </w:rPr>
              <w:t>4/14</w:t>
            </w:r>
          </w:p>
        </w:tc>
        <w:tc>
          <w:tcPr>
            <w:tcW w:w="1263" w:type="dxa"/>
            <w:shd w:val="clear" w:color="auto" w:fill="auto"/>
            <w:tcMar>
              <w:top w:w="0" w:type="dxa"/>
              <w:left w:w="0" w:type="dxa"/>
              <w:bottom w:w="0" w:type="dxa"/>
              <w:right w:w="0" w:type="dxa"/>
            </w:tcMar>
            <w:vAlign w:val="center"/>
          </w:tcPr>
          <w:p w14:paraId="282A973E" w14:textId="77777777" w:rsidR="00B317A8" w:rsidRPr="00B317A8" w:rsidRDefault="00B317A8" w:rsidP="00846313">
            <w:pPr>
              <w:pStyle w:val="Body"/>
              <w:rPr>
                <w:b/>
                <w:sz w:val="20"/>
                <w:szCs w:val="20"/>
              </w:rPr>
            </w:pPr>
            <w:r w:rsidRPr="00B317A8">
              <w:rPr>
                <w:b/>
                <w:sz w:val="20"/>
                <w:szCs w:val="20"/>
              </w:rPr>
              <w:t>3/14</w:t>
            </w:r>
          </w:p>
        </w:tc>
      </w:tr>
    </w:tbl>
    <w:p w14:paraId="5E60F05A" w14:textId="77777777" w:rsidR="00B317A8" w:rsidRDefault="00B317A8" w:rsidP="00050F11">
      <w:pPr>
        <w:pStyle w:val="Caption"/>
      </w:pPr>
      <w:r w:rsidRPr="00B317A8">
        <w:t xml:space="preserve">Table </w:t>
      </w:r>
      <w:fldSimple w:instr=" STYLEREF 1 \s ">
        <w:r w:rsidR="000B67B1">
          <w:rPr>
            <w:noProof/>
          </w:rPr>
          <w:t>2</w:t>
        </w:r>
      </w:fldSimple>
      <w:r w:rsidR="000B67B1">
        <w:t>.</w:t>
      </w:r>
      <w:fldSimple w:instr=" SEQ Table \* ARABIC \s 1 ">
        <w:r w:rsidR="006E1FF6">
          <w:rPr>
            <w:noProof/>
          </w:rPr>
          <w:t>3</w:t>
        </w:r>
      </w:fldSimple>
      <w:r w:rsidRPr="00A84F6C">
        <w:t xml:space="preserve"> - </w:t>
      </w:r>
      <w:r w:rsidRPr="008E4BB6">
        <w:rPr>
          <w:b w:val="0"/>
        </w:rPr>
        <w:t>Route model characteristic comparisons</w:t>
      </w:r>
    </w:p>
    <w:p w14:paraId="47F1A7F4" w14:textId="77777777" w:rsidR="000B67B1" w:rsidRPr="00392985" w:rsidRDefault="000B67B1" w:rsidP="00567EF1">
      <w:pPr>
        <w:pStyle w:val="Heading1"/>
      </w:pPr>
      <w:r w:rsidRPr="00392985">
        <w:t>DISCUSSION</w:t>
      </w:r>
    </w:p>
    <w:p w14:paraId="1CC50DC4" w14:textId="77777777" w:rsidR="000B67B1" w:rsidRPr="000B67B1" w:rsidRDefault="000B67B1" w:rsidP="00567EF1">
      <w:pPr>
        <w:pStyle w:val="Heading2"/>
      </w:pPr>
      <w:r w:rsidRPr="000B67B1">
        <w:t>Objective 1</w:t>
      </w:r>
    </w:p>
    <w:p w14:paraId="4EADCEAD" w14:textId="77777777" w:rsidR="000B67B1" w:rsidRPr="00050F11" w:rsidRDefault="000B67B1" w:rsidP="00050F11">
      <w:r w:rsidRPr="00050F11">
        <w:t>The results from the spatial analysis of gentrification indicators for the tram corridor and the wider urba</w:t>
      </w:r>
      <w:r w:rsidR="007E3B27">
        <w:t xml:space="preserve">n area are summarised in Table </w:t>
      </w:r>
      <w:r w:rsidR="006E1FF6">
        <w:t>3</w:t>
      </w:r>
      <w:r w:rsidRPr="00050F11">
        <w:t>.1 below. It was found that the N.E.T corridor in aggregate underperformed against the wider urban area on all of the capital and socio-economic gentr</w:t>
      </w:r>
      <w:r w:rsidR="00050F11" w:rsidRPr="00050F11">
        <w:t xml:space="preserve">ification indicators measured. </w:t>
      </w:r>
      <w:r w:rsidRPr="00050F11">
        <w:t xml:space="preserve">However, disaggregating the results for each individual stop helped to identify how the growth in these variables varied spatially along the route, highlighting the importance of the assessment of locality when analysing the potential economic impacts of transport investment (Du and Mulley, 2007). The fields highlighted in green represent the use of the governing method, determined where specific indicators have increased at a greater rate than that of the wider urban area over the same period, often used as a measure for pre-determining instances of gentrification through differing rates of urban change (Freeman, 2005; Atkinson, 2000). </w:t>
      </w:r>
    </w:p>
    <w:p w14:paraId="7CDE9EB5" w14:textId="77777777" w:rsidR="000B67B1" w:rsidRDefault="000B67B1" w:rsidP="000B67B1">
      <w:pPr>
        <w:pStyle w:val="NoSpacing"/>
      </w:pPr>
    </w:p>
    <w:p w14:paraId="037B7A1F" w14:textId="77777777" w:rsidR="000B67B1" w:rsidRPr="00857AED" w:rsidRDefault="000B67B1" w:rsidP="00050F11">
      <w:r w:rsidRPr="00857AED">
        <w:t xml:space="preserve">The highest growth in capital indicators, based on average price paid for housing (Smith, 1979) was focused between </w:t>
      </w:r>
      <w:r w:rsidRPr="00857AED">
        <w:rPr>
          <w:i/>
        </w:rPr>
        <w:t xml:space="preserve">The Forest </w:t>
      </w:r>
      <w:r w:rsidRPr="00857AED">
        <w:t xml:space="preserve">and </w:t>
      </w:r>
      <w:r w:rsidRPr="00857AED">
        <w:rPr>
          <w:i/>
        </w:rPr>
        <w:t>Basford</w:t>
      </w:r>
      <w:r w:rsidRPr="00857AED">
        <w:t xml:space="preserve"> with increases ranging from 82% to 95% between 2001 and 2011 that were in some cases considerably higher than the average observed for the city over the same period. This indicates at the potential for gentrification to occur within these </w:t>
      </w:r>
      <w:r w:rsidR="006F6DB0" w:rsidRPr="00857AED">
        <w:t>neighbourhoods</w:t>
      </w:r>
      <w:r w:rsidRPr="00857AED">
        <w:t xml:space="preserve"> in the future, particularly as these were identified as areas that were eligible</w:t>
      </w:r>
      <w:r w:rsidR="007E3B27">
        <w:t xml:space="preserve"> </w:t>
      </w:r>
      <w:r w:rsidRPr="00857AED">
        <w:t>(</w:t>
      </w:r>
      <w:proofErr w:type="spellStart"/>
      <w:r w:rsidRPr="00857AED">
        <w:t>Laska</w:t>
      </w:r>
      <w:proofErr w:type="spellEnd"/>
      <w:r w:rsidRPr="00857AED">
        <w:t xml:space="preserve"> et al, 1982; Smith, 1979). However, upon analysis of other socio-economic variables that would be indicative of a migration of the more affluent ‘gentry’ into these areas, it was found that the tram corridor underperformed on nearly all accounts including changes in educational attainment, occupations and the proportion of self-owned properties. The results suggest that although there is notable evidence of stronger growth in housing value, this is not necessarily causing gentrification to occur. </w:t>
      </w:r>
    </w:p>
    <w:p w14:paraId="3308AE2F" w14:textId="77777777" w:rsidR="000B67B1" w:rsidRDefault="000B67B1" w:rsidP="000B67B1">
      <w:pPr>
        <w:pStyle w:val="NoSpacing"/>
        <w:rPr>
          <w:b/>
        </w:rPr>
      </w:pPr>
    </w:p>
    <w:tbl>
      <w:tblPr>
        <w:tblStyle w:val="TableGrid"/>
        <w:tblW w:w="8295" w:type="dxa"/>
        <w:tblInd w:w="-5" w:type="dxa"/>
        <w:tblLayout w:type="fixed"/>
        <w:tblLook w:val="04A0" w:firstRow="1" w:lastRow="0" w:firstColumn="1" w:lastColumn="0" w:noHBand="0" w:noVBand="1"/>
      </w:tblPr>
      <w:tblGrid>
        <w:gridCol w:w="2074"/>
        <w:gridCol w:w="1054"/>
        <w:gridCol w:w="1315"/>
        <w:gridCol w:w="1331"/>
        <w:gridCol w:w="1334"/>
        <w:gridCol w:w="1187"/>
      </w:tblGrid>
      <w:tr w:rsidR="000B67B1" w:rsidRPr="00EA4C7E" w14:paraId="5D486BBD" w14:textId="77777777" w:rsidTr="00951922">
        <w:trPr>
          <w:trHeight w:val="151"/>
        </w:trPr>
        <w:tc>
          <w:tcPr>
            <w:tcW w:w="2074" w:type="dxa"/>
            <w:shd w:val="clear" w:color="auto" w:fill="323F4F"/>
          </w:tcPr>
          <w:p w14:paraId="6F0F2061" w14:textId="77777777" w:rsidR="000B67B1" w:rsidRPr="0041722C" w:rsidRDefault="000B67B1" w:rsidP="00846313">
            <w:pPr>
              <w:pStyle w:val="Body"/>
              <w:rPr>
                <w:rFonts w:asciiTheme="minorHAnsi" w:hAnsiTheme="minorHAnsi"/>
                <w:color w:val="FFFFFF" w:themeColor="background1"/>
                <w:sz w:val="20"/>
                <w:szCs w:val="20"/>
              </w:rPr>
            </w:pPr>
            <w:r w:rsidRPr="0041722C">
              <w:rPr>
                <w:rFonts w:asciiTheme="minorHAnsi" w:hAnsiTheme="minorHAnsi"/>
                <w:color w:val="FFFFFF" w:themeColor="background1"/>
                <w:sz w:val="20"/>
                <w:szCs w:val="20"/>
              </w:rPr>
              <w:t>Tram Stop</w:t>
            </w:r>
          </w:p>
        </w:tc>
        <w:tc>
          <w:tcPr>
            <w:tcW w:w="1054" w:type="dxa"/>
            <w:shd w:val="clear" w:color="auto" w:fill="323F4F"/>
          </w:tcPr>
          <w:p w14:paraId="325A2B3D" w14:textId="77777777" w:rsidR="000B67B1" w:rsidRPr="0041722C" w:rsidRDefault="000B67B1" w:rsidP="00846313">
            <w:pPr>
              <w:pStyle w:val="Body"/>
              <w:rPr>
                <w:rFonts w:asciiTheme="minorHAnsi" w:hAnsiTheme="minorHAnsi"/>
                <w:color w:val="FFFFFF" w:themeColor="background1"/>
                <w:sz w:val="20"/>
                <w:szCs w:val="20"/>
              </w:rPr>
            </w:pPr>
            <w:r w:rsidRPr="0041722C">
              <w:rPr>
                <w:rFonts w:asciiTheme="minorHAnsi" w:hAnsiTheme="minorHAnsi"/>
                <w:color w:val="FFFFFF" w:themeColor="background1"/>
                <w:sz w:val="20"/>
                <w:szCs w:val="20"/>
              </w:rPr>
              <w:t>Average Price Paid</w:t>
            </w:r>
          </w:p>
        </w:tc>
        <w:tc>
          <w:tcPr>
            <w:tcW w:w="1315" w:type="dxa"/>
            <w:shd w:val="clear" w:color="auto" w:fill="323F4F"/>
          </w:tcPr>
          <w:p w14:paraId="4839A2B2" w14:textId="77777777" w:rsidR="000B67B1" w:rsidRPr="0041722C" w:rsidRDefault="000B67B1" w:rsidP="00846313">
            <w:pPr>
              <w:pStyle w:val="Body"/>
              <w:rPr>
                <w:rFonts w:asciiTheme="minorHAnsi" w:hAnsiTheme="minorHAnsi"/>
                <w:color w:val="FFFFFF" w:themeColor="background1"/>
                <w:sz w:val="20"/>
                <w:szCs w:val="20"/>
              </w:rPr>
            </w:pPr>
            <w:r w:rsidRPr="0041722C">
              <w:rPr>
                <w:rFonts w:asciiTheme="minorHAnsi" w:hAnsiTheme="minorHAnsi"/>
                <w:color w:val="FFFFFF" w:themeColor="background1"/>
                <w:sz w:val="20"/>
                <w:szCs w:val="20"/>
              </w:rPr>
              <w:t>Educational Attainment (L4)</w:t>
            </w:r>
          </w:p>
        </w:tc>
        <w:tc>
          <w:tcPr>
            <w:tcW w:w="1331" w:type="dxa"/>
            <w:shd w:val="clear" w:color="auto" w:fill="323F4F"/>
          </w:tcPr>
          <w:p w14:paraId="662350D7" w14:textId="77777777" w:rsidR="000B67B1" w:rsidRPr="0041722C" w:rsidRDefault="000B67B1" w:rsidP="00846313">
            <w:pPr>
              <w:pStyle w:val="Body"/>
              <w:rPr>
                <w:rFonts w:asciiTheme="minorHAnsi" w:hAnsiTheme="minorHAnsi"/>
                <w:color w:val="FFFFFF" w:themeColor="background1"/>
                <w:sz w:val="20"/>
                <w:szCs w:val="20"/>
              </w:rPr>
            </w:pPr>
            <w:r w:rsidRPr="0041722C">
              <w:rPr>
                <w:rFonts w:asciiTheme="minorHAnsi" w:hAnsiTheme="minorHAnsi"/>
                <w:color w:val="FFFFFF" w:themeColor="background1"/>
                <w:sz w:val="20"/>
                <w:szCs w:val="20"/>
              </w:rPr>
              <w:t>Higher Level Occupation</w:t>
            </w:r>
          </w:p>
        </w:tc>
        <w:tc>
          <w:tcPr>
            <w:tcW w:w="1334" w:type="dxa"/>
            <w:shd w:val="clear" w:color="auto" w:fill="323F4F"/>
          </w:tcPr>
          <w:p w14:paraId="73E14190" w14:textId="77777777" w:rsidR="000B67B1" w:rsidRPr="0041722C" w:rsidRDefault="000B67B1" w:rsidP="00846313">
            <w:pPr>
              <w:pStyle w:val="Body"/>
              <w:rPr>
                <w:rFonts w:asciiTheme="minorHAnsi" w:hAnsiTheme="minorHAnsi"/>
                <w:color w:val="FFFFFF" w:themeColor="background1"/>
                <w:sz w:val="20"/>
                <w:szCs w:val="20"/>
              </w:rPr>
            </w:pPr>
            <w:r w:rsidRPr="0041722C">
              <w:rPr>
                <w:rFonts w:asciiTheme="minorHAnsi" w:hAnsiTheme="minorHAnsi"/>
                <w:color w:val="FFFFFF" w:themeColor="background1"/>
                <w:sz w:val="20"/>
                <w:szCs w:val="20"/>
              </w:rPr>
              <w:t>Lower Managerial Occupation</w:t>
            </w:r>
          </w:p>
        </w:tc>
        <w:tc>
          <w:tcPr>
            <w:tcW w:w="1187" w:type="dxa"/>
            <w:shd w:val="clear" w:color="auto" w:fill="323F4F"/>
          </w:tcPr>
          <w:p w14:paraId="239D1C03" w14:textId="77777777" w:rsidR="000B67B1" w:rsidRPr="0041722C" w:rsidRDefault="000B67B1" w:rsidP="00846313">
            <w:pPr>
              <w:pStyle w:val="Body"/>
              <w:rPr>
                <w:rFonts w:asciiTheme="minorHAnsi" w:hAnsiTheme="minorHAnsi"/>
                <w:color w:val="FFFFFF" w:themeColor="background1"/>
                <w:sz w:val="20"/>
                <w:szCs w:val="20"/>
              </w:rPr>
            </w:pPr>
            <w:r w:rsidRPr="0041722C">
              <w:rPr>
                <w:rFonts w:asciiTheme="minorHAnsi" w:hAnsiTheme="minorHAnsi"/>
                <w:color w:val="FFFFFF" w:themeColor="background1"/>
                <w:sz w:val="20"/>
                <w:szCs w:val="20"/>
              </w:rPr>
              <w:t xml:space="preserve">Self-owned housing </w:t>
            </w:r>
          </w:p>
        </w:tc>
      </w:tr>
      <w:tr w:rsidR="000B67B1" w:rsidRPr="00EA4C7E" w14:paraId="586CA876" w14:textId="77777777" w:rsidTr="00951922">
        <w:trPr>
          <w:trHeight w:val="65"/>
        </w:trPr>
        <w:tc>
          <w:tcPr>
            <w:tcW w:w="2074" w:type="dxa"/>
          </w:tcPr>
          <w:p w14:paraId="3E5A2AE5"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Trent University</w:t>
            </w:r>
          </w:p>
        </w:tc>
        <w:tc>
          <w:tcPr>
            <w:tcW w:w="1054" w:type="dxa"/>
          </w:tcPr>
          <w:p w14:paraId="242C68FC"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46%</w:t>
            </w:r>
          </w:p>
        </w:tc>
        <w:tc>
          <w:tcPr>
            <w:tcW w:w="1315" w:type="dxa"/>
            <w:shd w:val="clear" w:color="auto" w:fill="92D050"/>
          </w:tcPr>
          <w:p w14:paraId="56C46490"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+4.6%</w:t>
            </w:r>
          </w:p>
        </w:tc>
        <w:tc>
          <w:tcPr>
            <w:tcW w:w="1331" w:type="dxa"/>
          </w:tcPr>
          <w:p w14:paraId="4752BA0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-0.5%</w:t>
            </w:r>
          </w:p>
        </w:tc>
        <w:tc>
          <w:tcPr>
            <w:tcW w:w="1334" w:type="dxa"/>
          </w:tcPr>
          <w:p w14:paraId="4BB8B1CE"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-2.4%</w:t>
            </w:r>
          </w:p>
        </w:tc>
        <w:tc>
          <w:tcPr>
            <w:tcW w:w="1187" w:type="dxa"/>
            <w:shd w:val="clear" w:color="auto" w:fill="92D050"/>
          </w:tcPr>
          <w:p w14:paraId="078A1C4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w:t>
            </w:r>
          </w:p>
        </w:tc>
      </w:tr>
      <w:tr w:rsidR="000B67B1" w:rsidRPr="00EA4C7E" w14:paraId="4DAAB55F" w14:textId="77777777" w:rsidTr="00951922">
        <w:trPr>
          <w:trHeight w:val="65"/>
        </w:trPr>
        <w:tc>
          <w:tcPr>
            <w:tcW w:w="2074" w:type="dxa"/>
          </w:tcPr>
          <w:p w14:paraId="5B87A5A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High School</w:t>
            </w:r>
          </w:p>
        </w:tc>
        <w:tc>
          <w:tcPr>
            <w:tcW w:w="1054" w:type="dxa"/>
          </w:tcPr>
          <w:p w14:paraId="7DEC1D36"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47%</w:t>
            </w:r>
          </w:p>
        </w:tc>
        <w:tc>
          <w:tcPr>
            <w:tcW w:w="1315" w:type="dxa"/>
          </w:tcPr>
          <w:p w14:paraId="66299D5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-4.9%</w:t>
            </w:r>
          </w:p>
        </w:tc>
        <w:tc>
          <w:tcPr>
            <w:tcW w:w="1331" w:type="dxa"/>
          </w:tcPr>
          <w:p w14:paraId="65872FFC"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-0.3%</w:t>
            </w:r>
          </w:p>
        </w:tc>
        <w:tc>
          <w:tcPr>
            <w:tcW w:w="1334" w:type="dxa"/>
          </w:tcPr>
          <w:p w14:paraId="0E48B4A9"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-2.9%</w:t>
            </w:r>
          </w:p>
        </w:tc>
        <w:tc>
          <w:tcPr>
            <w:tcW w:w="1187" w:type="dxa"/>
          </w:tcPr>
          <w:p w14:paraId="16477045"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w:t>
            </w:r>
          </w:p>
        </w:tc>
      </w:tr>
      <w:tr w:rsidR="000B67B1" w:rsidRPr="00EA4C7E" w14:paraId="35C8C41D" w14:textId="77777777" w:rsidTr="00951922">
        <w:trPr>
          <w:trHeight w:val="65"/>
        </w:trPr>
        <w:tc>
          <w:tcPr>
            <w:tcW w:w="2074" w:type="dxa"/>
          </w:tcPr>
          <w:p w14:paraId="28FCE11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The Forest</w:t>
            </w:r>
          </w:p>
        </w:tc>
        <w:tc>
          <w:tcPr>
            <w:tcW w:w="1054" w:type="dxa"/>
            <w:shd w:val="clear" w:color="auto" w:fill="92D050"/>
          </w:tcPr>
          <w:p w14:paraId="0854188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89%</w:t>
            </w:r>
          </w:p>
        </w:tc>
        <w:tc>
          <w:tcPr>
            <w:tcW w:w="1315" w:type="dxa"/>
          </w:tcPr>
          <w:p w14:paraId="1D3EDA54"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-1.2%</w:t>
            </w:r>
          </w:p>
        </w:tc>
        <w:tc>
          <w:tcPr>
            <w:tcW w:w="1331" w:type="dxa"/>
          </w:tcPr>
          <w:p w14:paraId="0F4A7AB9"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-0.2%</w:t>
            </w:r>
          </w:p>
        </w:tc>
        <w:tc>
          <w:tcPr>
            <w:tcW w:w="1334" w:type="dxa"/>
          </w:tcPr>
          <w:p w14:paraId="3752B325"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-1.8%</w:t>
            </w:r>
          </w:p>
        </w:tc>
        <w:tc>
          <w:tcPr>
            <w:tcW w:w="1187" w:type="dxa"/>
          </w:tcPr>
          <w:p w14:paraId="7AAF6529"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-1.9%</w:t>
            </w:r>
          </w:p>
        </w:tc>
      </w:tr>
      <w:tr w:rsidR="000B67B1" w:rsidRPr="00EA4C7E" w14:paraId="749FC5CD" w14:textId="77777777" w:rsidTr="00951922">
        <w:trPr>
          <w:trHeight w:val="65"/>
        </w:trPr>
        <w:tc>
          <w:tcPr>
            <w:tcW w:w="2074" w:type="dxa"/>
          </w:tcPr>
          <w:p w14:paraId="72186DDD"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Hyson Green Market</w:t>
            </w:r>
          </w:p>
        </w:tc>
        <w:tc>
          <w:tcPr>
            <w:tcW w:w="1054" w:type="dxa"/>
            <w:shd w:val="clear" w:color="auto" w:fill="92D050"/>
          </w:tcPr>
          <w:p w14:paraId="2E3BB59E"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87%</w:t>
            </w:r>
          </w:p>
        </w:tc>
        <w:tc>
          <w:tcPr>
            <w:tcW w:w="1315" w:type="dxa"/>
          </w:tcPr>
          <w:p w14:paraId="43B32B77"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-0.6%</w:t>
            </w:r>
          </w:p>
        </w:tc>
        <w:tc>
          <w:tcPr>
            <w:tcW w:w="1331" w:type="dxa"/>
          </w:tcPr>
          <w:p w14:paraId="4B974F7E"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-0.1%</w:t>
            </w:r>
          </w:p>
        </w:tc>
        <w:tc>
          <w:tcPr>
            <w:tcW w:w="1334" w:type="dxa"/>
          </w:tcPr>
          <w:p w14:paraId="06D177C2"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-1.4%</w:t>
            </w:r>
          </w:p>
        </w:tc>
        <w:tc>
          <w:tcPr>
            <w:tcW w:w="1187" w:type="dxa"/>
          </w:tcPr>
          <w:p w14:paraId="2CEBFEEE"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-1.6%</w:t>
            </w:r>
          </w:p>
        </w:tc>
      </w:tr>
      <w:tr w:rsidR="000B67B1" w:rsidRPr="00EA4C7E" w14:paraId="35B2278E" w14:textId="77777777" w:rsidTr="00951922">
        <w:trPr>
          <w:trHeight w:val="65"/>
        </w:trPr>
        <w:tc>
          <w:tcPr>
            <w:tcW w:w="2074" w:type="dxa"/>
          </w:tcPr>
          <w:p w14:paraId="3074456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Noel Street</w:t>
            </w:r>
          </w:p>
        </w:tc>
        <w:tc>
          <w:tcPr>
            <w:tcW w:w="1054" w:type="dxa"/>
            <w:shd w:val="clear" w:color="auto" w:fill="92D050"/>
          </w:tcPr>
          <w:p w14:paraId="77976B0A"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86%</w:t>
            </w:r>
          </w:p>
        </w:tc>
        <w:tc>
          <w:tcPr>
            <w:tcW w:w="1315" w:type="dxa"/>
          </w:tcPr>
          <w:p w14:paraId="06F24AA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-1.4%</w:t>
            </w:r>
          </w:p>
        </w:tc>
        <w:tc>
          <w:tcPr>
            <w:tcW w:w="1331" w:type="dxa"/>
          </w:tcPr>
          <w:p w14:paraId="1827CC5B"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-0.5%</w:t>
            </w:r>
          </w:p>
        </w:tc>
        <w:tc>
          <w:tcPr>
            <w:tcW w:w="1334" w:type="dxa"/>
          </w:tcPr>
          <w:p w14:paraId="49D77C0D"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-1.8%</w:t>
            </w:r>
          </w:p>
        </w:tc>
        <w:tc>
          <w:tcPr>
            <w:tcW w:w="1187" w:type="dxa"/>
          </w:tcPr>
          <w:p w14:paraId="6ABED304"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-1.8%</w:t>
            </w:r>
          </w:p>
        </w:tc>
      </w:tr>
      <w:tr w:rsidR="000B67B1" w:rsidRPr="00EA4C7E" w14:paraId="460009F3" w14:textId="77777777" w:rsidTr="00951922">
        <w:trPr>
          <w:trHeight w:val="65"/>
        </w:trPr>
        <w:tc>
          <w:tcPr>
            <w:tcW w:w="2074" w:type="dxa"/>
          </w:tcPr>
          <w:p w14:paraId="0EA44A0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 xml:space="preserve">Radford Road </w:t>
            </w:r>
          </w:p>
        </w:tc>
        <w:tc>
          <w:tcPr>
            <w:tcW w:w="1054" w:type="dxa"/>
            <w:shd w:val="clear" w:color="auto" w:fill="92D050"/>
          </w:tcPr>
          <w:p w14:paraId="4FB8C76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88%</w:t>
            </w:r>
          </w:p>
        </w:tc>
        <w:tc>
          <w:tcPr>
            <w:tcW w:w="1315" w:type="dxa"/>
          </w:tcPr>
          <w:p w14:paraId="7EC6CAF3"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+0.1%</w:t>
            </w:r>
          </w:p>
        </w:tc>
        <w:tc>
          <w:tcPr>
            <w:tcW w:w="1331" w:type="dxa"/>
          </w:tcPr>
          <w:p w14:paraId="2B64DB3E"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+0.1%</w:t>
            </w:r>
          </w:p>
        </w:tc>
        <w:tc>
          <w:tcPr>
            <w:tcW w:w="1334" w:type="dxa"/>
          </w:tcPr>
          <w:p w14:paraId="573BA2E1"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-1.2%</w:t>
            </w:r>
          </w:p>
        </w:tc>
        <w:tc>
          <w:tcPr>
            <w:tcW w:w="1187" w:type="dxa"/>
          </w:tcPr>
          <w:p w14:paraId="25E464E9"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-2.3%</w:t>
            </w:r>
          </w:p>
        </w:tc>
      </w:tr>
      <w:tr w:rsidR="000B67B1" w:rsidRPr="00EA4C7E" w14:paraId="5E3808E7" w14:textId="77777777" w:rsidTr="00951922">
        <w:trPr>
          <w:trHeight w:val="65"/>
        </w:trPr>
        <w:tc>
          <w:tcPr>
            <w:tcW w:w="2074" w:type="dxa"/>
          </w:tcPr>
          <w:p w14:paraId="0A8A77D0"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Beaconsfield Street</w:t>
            </w:r>
          </w:p>
        </w:tc>
        <w:tc>
          <w:tcPr>
            <w:tcW w:w="1054" w:type="dxa"/>
            <w:shd w:val="clear" w:color="auto" w:fill="92D050"/>
          </w:tcPr>
          <w:p w14:paraId="7D231371"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95%</w:t>
            </w:r>
          </w:p>
        </w:tc>
        <w:tc>
          <w:tcPr>
            <w:tcW w:w="1315" w:type="dxa"/>
          </w:tcPr>
          <w:p w14:paraId="45ADCEA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-0.3%</w:t>
            </w:r>
          </w:p>
        </w:tc>
        <w:tc>
          <w:tcPr>
            <w:tcW w:w="1331" w:type="dxa"/>
          </w:tcPr>
          <w:p w14:paraId="37DEFA7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+0.1%</w:t>
            </w:r>
          </w:p>
        </w:tc>
        <w:tc>
          <w:tcPr>
            <w:tcW w:w="1334" w:type="dxa"/>
          </w:tcPr>
          <w:p w14:paraId="003CBBB3"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-1.3%</w:t>
            </w:r>
          </w:p>
        </w:tc>
        <w:tc>
          <w:tcPr>
            <w:tcW w:w="1187" w:type="dxa"/>
          </w:tcPr>
          <w:p w14:paraId="34F9622C"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-2.3%</w:t>
            </w:r>
          </w:p>
        </w:tc>
      </w:tr>
      <w:tr w:rsidR="000B67B1" w:rsidRPr="00EA4C7E" w14:paraId="74DC085E" w14:textId="77777777" w:rsidTr="00951922">
        <w:trPr>
          <w:trHeight w:val="65"/>
        </w:trPr>
        <w:tc>
          <w:tcPr>
            <w:tcW w:w="2074" w:type="dxa"/>
          </w:tcPr>
          <w:p w14:paraId="26BA62C2"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Shipstone Street</w:t>
            </w:r>
          </w:p>
        </w:tc>
        <w:tc>
          <w:tcPr>
            <w:tcW w:w="1054" w:type="dxa"/>
            <w:shd w:val="clear" w:color="auto" w:fill="92D050"/>
          </w:tcPr>
          <w:p w14:paraId="576B61F9"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82%</w:t>
            </w:r>
          </w:p>
        </w:tc>
        <w:tc>
          <w:tcPr>
            <w:tcW w:w="1315" w:type="dxa"/>
          </w:tcPr>
          <w:p w14:paraId="4D9A81D2"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+1.2%</w:t>
            </w:r>
          </w:p>
        </w:tc>
        <w:tc>
          <w:tcPr>
            <w:tcW w:w="1331" w:type="dxa"/>
          </w:tcPr>
          <w:p w14:paraId="3B733280"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+0.8%</w:t>
            </w:r>
          </w:p>
        </w:tc>
        <w:tc>
          <w:tcPr>
            <w:tcW w:w="1334" w:type="dxa"/>
          </w:tcPr>
          <w:p w14:paraId="4D6530D7"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-1.3%</w:t>
            </w:r>
          </w:p>
        </w:tc>
        <w:tc>
          <w:tcPr>
            <w:tcW w:w="1187" w:type="dxa"/>
          </w:tcPr>
          <w:p w14:paraId="3E0F87DD"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w:t>
            </w:r>
          </w:p>
        </w:tc>
      </w:tr>
      <w:tr w:rsidR="000B67B1" w:rsidRPr="00EA4C7E" w14:paraId="79830189" w14:textId="77777777" w:rsidTr="00951922">
        <w:trPr>
          <w:trHeight w:val="65"/>
        </w:trPr>
        <w:tc>
          <w:tcPr>
            <w:tcW w:w="2074" w:type="dxa"/>
          </w:tcPr>
          <w:p w14:paraId="3839EB3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Wilkinson Street</w:t>
            </w:r>
          </w:p>
        </w:tc>
        <w:tc>
          <w:tcPr>
            <w:tcW w:w="1054" w:type="dxa"/>
            <w:shd w:val="clear" w:color="auto" w:fill="92D050"/>
          </w:tcPr>
          <w:p w14:paraId="21029559"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84%</w:t>
            </w:r>
          </w:p>
        </w:tc>
        <w:tc>
          <w:tcPr>
            <w:tcW w:w="1315" w:type="dxa"/>
          </w:tcPr>
          <w:p w14:paraId="7B28396A"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+1.4%</w:t>
            </w:r>
          </w:p>
        </w:tc>
        <w:tc>
          <w:tcPr>
            <w:tcW w:w="1331" w:type="dxa"/>
          </w:tcPr>
          <w:p w14:paraId="512F9FA7"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+0.7%</w:t>
            </w:r>
          </w:p>
        </w:tc>
        <w:tc>
          <w:tcPr>
            <w:tcW w:w="1334" w:type="dxa"/>
          </w:tcPr>
          <w:p w14:paraId="2B0CA52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-1.0%</w:t>
            </w:r>
          </w:p>
        </w:tc>
        <w:tc>
          <w:tcPr>
            <w:tcW w:w="1187" w:type="dxa"/>
          </w:tcPr>
          <w:p w14:paraId="1F28C10E"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-1.8%</w:t>
            </w:r>
          </w:p>
        </w:tc>
      </w:tr>
      <w:tr w:rsidR="000B67B1" w:rsidRPr="00EA4C7E" w14:paraId="7425736C" w14:textId="77777777" w:rsidTr="00951922">
        <w:trPr>
          <w:trHeight w:val="65"/>
        </w:trPr>
        <w:tc>
          <w:tcPr>
            <w:tcW w:w="2074" w:type="dxa"/>
          </w:tcPr>
          <w:p w14:paraId="31DEE19A"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Basford</w:t>
            </w:r>
          </w:p>
        </w:tc>
        <w:tc>
          <w:tcPr>
            <w:tcW w:w="1054" w:type="dxa"/>
            <w:shd w:val="clear" w:color="auto" w:fill="92D050"/>
          </w:tcPr>
          <w:p w14:paraId="4E819C19"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92%</w:t>
            </w:r>
          </w:p>
        </w:tc>
        <w:tc>
          <w:tcPr>
            <w:tcW w:w="1315" w:type="dxa"/>
            <w:shd w:val="clear" w:color="auto" w:fill="92D050"/>
          </w:tcPr>
          <w:p w14:paraId="5D4E4C0A"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+4.4%</w:t>
            </w:r>
          </w:p>
        </w:tc>
        <w:tc>
          <w:tcPr>
            <w:tcW w:w="1331" w:type="dxa"/>
          </w:tcPr>
          <w:p w14:paraId="1FC7F71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+2.3%</w:t>
            </w:r>
          </w:p>
        </w:tc>
        <w:tc>
          <w:tcPr>
            <w:tcW w:w="1334" w:type="dxa"/>
          </w:tcPr>
          <w:p w14:paraId="556031C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-0.1%</w:t>
            </w:r>
          </w:p>
        </w:tc>
        <w:tc>
          <w:tcPr>
            <w:tcW w:w="1187" w:type="dxa"/>
          </w:tcPr>
          <w:p w14:paraId="6662B77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-2.4%</w:t>
            </w:r>
          </w:p>
        </w:tc>
      </w:tr>
      <w:tr w:rsidR="000B67B1" w:rsidRPr="00EA4C7E" w14:paraId="1950BD82" w14:textId="77777777" w:rsidTr="00951922">
        <w:trPr>
          <w:trHeight w:val="65"/>
        </w:trPr>
        <w:tc>
          <w:tcPr>
            <w:tcW w:w="2074" w:type="dxa"/>
          </w:tcPr>
          <w:p w14:paraId="5BC9E799"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David Lane</w:t>
            </w:r>
          </w:p>
        </w:tc>
        <w:tc>
          <w:tcPr>
            <w:tcW w:w="1054" w:type="dxa"/>
          </w:tcPr>
          <w:p w14:paraId="6BC6D20A"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72%</w:t>
            </w:r>
          </w:p>
        </w:tc>
        <w:tc>
          <w:tcPr>
            <w:tcW w:w="1315" w:type="dxa"/>
            <w:shd w:val="clear" w:color="auto" w:fill="92D050"/>
          </w:tcPr>
          <w:p w14:paraId="4574B455"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+4.5%</w:t>
            </w:r>
          </w:p>
        </w:tc>
        <w:tc>
          <w:tcPr>
            <w:tcW w:w="1331" w:type="dxa"/>
            <w:shd w:val="clear" w:color="auto" w:fill="92D050"/>
          </w:tcPr>
          <w:p w14:paraId="2936ED8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+2.8%</w:t>
            </w:r>
          </w:p>
        </w:tc>
        <w:tc>
          <w:tcPr>
            <w:tcW w:w="1334" w:type="dxa"/>
          </w:tcPr>
          <w:p w14:paraId="3B434D47"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+0.8%</w:t>
            </w:r>
          </w:p>
        </w:tc>
        <w:tc>
          <w:tcPr>
            <w:tcW w:w="1187" w:type="dxa"/>
          </w:tcPr>
          <w:p w14:paraId="1FF87297"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-0.8%</w:t>
            </w:r>
          </w:p>
        </w:tc>
      </w:tr>
      <w:tr w:rsidR="000B67B1" w14:paraId="6622772B" w14:textId="77777777" w:rsidTr="00951922">
        <w:trPr>
          <w:trHeight w:val="65"/>
        </w:trPr>
        <w:tc>
          <w:tcPr>
            <w:tcW w:w="2074" w:type="dxa"/>
          </w:tcPr>
          <w:p w14:paraId="4982F5F9"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Highbury Vale</w:t>
            </w:r>
          </w:p>
        </w:tc>
        <w:tc>
          <w:tcPr>
            <w:tcW w:w="1054" w:type="dxa"/>
          </w:tcPr>
          <w:p w14:paraId="402331D1"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70%</w:t>
            </w:r>
          </w:p>
        </w:tc>
        <w:tc>
          <w:tcPr>
            <w:tcW w:w="1315" w:type="dxa"/>
            <w:shd w:val="clear" w:color="auto" w:fill="92D050"/>
          </w:tcPr>
          <w:p w14:paraId="213AE90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+5.2%</w:t>
            </w:r>
          </w:p>
        </w:tc>
        <w:tc>
          <w:tcPr>
            <w:tcW w:w="1331" w:type="dxa"/>
            <w:shd w:val="clear" w:color="auto" w:fill="92D050"/>
          </w:tcPr>
          <w:p w14:paraId="6C0AA40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+2.6%</w:t>
            </w:r>
          </w:p>
        </w:tc>
        <w:tc>
          <w:tcPr>
            <w:tcW w:w="1334" w:type="dxa"/>
            <w:shd w:val="clear" w:color="auto" w:fill="92D050"/>
          </w:tcPr>
          <w:p w14:paraId="6F43B5B9"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+2.6%</w:t>
            </w:r>
          </w:p>
        </w:tc>
        <w:tc>
          <w:tcPr>
            <w:tcW w:w="1187" w:type="dxa"/>
            <w:shd w:val="clear" w:color="auto" w:fill="92D050"/>
          </w:tcPr>
          <w:p w14:paraId="139F6CED"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w:t>
            </w:r>
          </w:p>
        </w:tc>
      </w:tr>
      <w:tr w:rsidR="000B67B1" w14:paraId="43DE71C6" w14:textId="77777777" w:rsidTr="00951922">
        <w:trPr>
          <w:trHeight w:val="65"/>
        </w:trPr>
        <w:tc>
          <w:tcPr>
            <w:tcW w:w="2074" w:type="dxa"/>
          </w:tcPr>
          <w:p w14:paraId="534299DE"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Cinderhill</w:t>
            </w:r>
          </w:p>
        </w:tc>
        <w:tc>
          <w:tcPr>
            <w:tcW w:w="1054" w:type="dxa"/>
          </w:tcPr>
          <w:p w14:paraId="3D15AD0B"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66%</w:t>
            </w:r>
          </w:p>
        </w:tc>
        <w:tc>
          <w:tcPr>
            <w:tcW w:w="1315" w:type="dxa"/>
            <w:shd w:val="clear" w:color="auto" w:fill="92D050"/>
          </w:tcPr>
          <w:p w14:paraId="039C5F35"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+5.7%</w:t>
            </w:r>
          </w:p>
        </w:tc>
        <w:tc>
          <w:tcPr>
            <w:tcW w:w="1331" w:type="dxa"/>
            <w:shd w:val="clear" w:color="auto" w:fill="92D050"/>
          </w:tcPr>
          <w:p w14:paraId="20FD306C"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+2.6%</w:t>
            </w:r>
          </w:p>
        </w:tc>
        <w:tc>
          <w:tcPr>
            <w:tcW w:w="1334" w:type="dxa"/>
            <w:shd w:val="clear" w:color="auto" w:fill="92D050"/>
          </w:tcPr>
          <w:p w14:paraId="2C37739B"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+2.7%</w:t>
            </w:r>
          </w:p>
        </w:tc>
        <w:tc>
          <w:tcPr>
            <w:tcW w:w="1187" w:type="dxa"/>
            <w:shd w:val="clear" w:color="auto" w:fill="92D050"/>
          </w:tcPr>
          <w:p w14:paraId="665AC903"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w:t>
            </w:r>
          </w:p>
        </w:tc>
      </w:tr>
      <w:tr w:rsidR="000B67B1" w14:paraId="3BEDAB13" w14:textId="77777777" w:rsidTr="00951922">
        <w:trPr>
          <w:trHeight w:val="65"/>
        </w:trPr>
        <w:tc>
          <w:tcPr>
            <w:tcW w:w="2074" w:type="dxa"/>
          </w:tcPr>
          <w:p w14:paraId="47BF922B"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Phoenix Park (P&amp;R)</w:t>
            </w:r>
          </w:p>
        </w:tc>
        <w:tc>
          <w:tcPr>
            <w:tcW w:w="1054" w:type="dxa"/>
          </w:tcPr>
          <w:p w14:paraId="1B576247"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57%</w:t>
            </w:r>
          </w:p>
        </w:tc>
        <w:tc>
          <w:tcPr>
            <w:tcW w:w="1315" w:type="dxa"/>
            <w:shd w:val="clear" w:color="auto" w:fill="92D050"/>
          </w:tcPr>
          <w:p w14:paraId="0261EB6E"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+5.7%</w:t>
            </w:r>
          </w:p>
        </w:tc>
        <w:tc>
          <w:tcPr>
            <w:tcW w:w="1331" w:type="dxa"/>
            <w:shd w:val="clear" w:color="auto" w:fill="92D050"/>
          </w:tcPr>
          <w:p w14:paraId="01917FD4"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+2.6%</w:t>
            </w:r>
          </w:p>
        </w:tc>
        <w:tc>
          <w:tcPr>
            <w:tcW w:w="1334" w:type="dxa"/>
            <w:shd w:val="clear" w:color="auto" w:fill="92D050"/>
          </w:tcPr>
          <w:p w14:paraId="45E1A995"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+2.7%</w:t>
            </w:r>
          </w:p>
        </w:tc>
        <w:tc>
          <w:tcPr>
            <w:tcW w:w="1187" w:type="dxa"/>
            <w:shd w:val="clear" w:color="auto" w:fill="92D050"/>
          </w:tcPr>
          <w:p w14:paraId="7D338120"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w:t>
            </w:r>
          </w:p>
        </w:tc>
      </w:tr>
      <w:tr w:rsidR="000B67B1" w14:paraId="407376A5" w14:textId="77777777" w:rsidTr="00951922">
        <w:trPr>
          <w:trHeight w:val="56"/>
        </w:trPr>
        <w:tc>
          <w:tcPr>
            <w:tcW w:w="2074" w:type="dxa"/>
            <w:shd w:val="clear" w:color="auto" w:fill="ED7D31" w:themeFill="accent2"/>
          </w:tcPr>
          <w:p w14:paraId="27C8DAE2"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 xml:space="preserve">N.E.T All Stops </w:t>
            </w:r>
          </w:p>
        </w:tc>
        <w:tc>
          <w:tcPr>
            <w:tcW w:w="1054" w:type="dxa"/>
            <w:shd w:val="clear" w:color="auto" w:fill="ED7D31" w:themeFill="accent2"/>
          </w:tcPr>
          <w:p w14:paraId="5F81E7EA"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65%</w:t>
            </w:r>
          </w:p>
        </w:tc>
        <w:tc>
          <w:tcPr>
            <w:tcW w:w="1315" w:type="dxa"/>
            <w:shd w:val="clear" w:color="auto" w:fill="ED7D31" w:themeFill="accent2"/>
          </w:tcPr>
          <w:p w14:paraId="15AAF7B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+2.5%</w:t>
            </w:r>
          </w:p>
        </w:tc>
        <w:tc>
          <w:tcPr>
            <w:tcW w:w="1331" w:type="dxa"/>
            <w:shd w:val="clear" w:color="auto" w:fill="ED7D31" w:themeFill="accent2"/>
          </w:tcPr>
          <w:p w14:paraId="5AEDFD0C"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+1.2%</w:t>
            </w:r>
          </w:p>
        </w:tc>
        <w:tc>
          <w:tcPr>
            <w:tcW w:w="1334" w:type="dxa"/>
            <w:shd w:val="clear" w:color="auto" w:fill="ED7D31" w:themeFill="accent2"/>
          </w:tcPr>
          <w:p w14:paraId="77119FD4"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-0.5%</w:t>
            </w:r>
          </w:p>
        </w:tc>
        <w:tc>
          <w:tcPr>
            <w:tcW w:w="1187" w:type="dxa"/>
            <w:shd w:val="clear" w:color="auto" w:fill="ED7D31" w:themeFill="accent2"/>
          </w:tcPr>
          <w:p w14:paraId="7A2D8C7C"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-0.8%</w:t>
            </w:r>
          </w:p>
        </w:tc>
      </w:tr>
      <w:tr w:rsidR="000B67B1" w14:paraId="2C6B545E" w14:textId="77777777" w:rsidTr="00951922">
        <w:trPr>
          <w:trHeight w:val="56"/>
        </w:trPr>
        <w:tc>
          <w:tcPr>
            <w:tcW w:w="2074" w:type="dxa"/>
            <w:shd w:val="clear" w:color="auto" w:fill="FFC000" w:themeFill="accent4"/>
          </w:tcPr>
          <w:p w14:paraId="289B6CB0"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City of Nottingham</w:t>
            </w:r>
          </w:p>
        </w:tc>
        <w:tc>
          <w:tcPr>
            <w:tcW w:w="1054" w:type="dxa"/>
            <w:shd w:val="clear" w:color="auto" w:fill="FFC000" w:themeFill="accent4"/>
          </w:tcPr>
          <w:p w14:paraId="6DA5601F"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73%</w:t>
            </w:r>
          </w:p>
        </w:tc>
        <w:tc>
          <w:tcPr>
            <w:tcW w:w="1315" w:type="dxa"/>
            <w:shd w:val="clear" w:color="auto" w:fill="FFC000" w:themeFill="accent4"/>
          </w:tcPr>
          <w:p w14:paraId="7C656A56"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+4.2%</w:t>
            </w:r>
          </w:p>
        </w:tc>
        <w:tc>
          <w:tcPr>
            <w:tcW w:w="1331" w:type="dxa"/>
            <w:shd w:val="clear" w:color="auto" w:fill="FFC000" w:themeFill="accent4"/>
          </w:tcPr>
          <w:p w14:paraId="59AD66CB"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+2.5%</w:t>
            </w:r>
          </w:p>
        </w:tc>
        <w:tc>
          <w:tcPr>
            <w:tcW w:w="1334" w:type="dxa"/>
            <w:shd w:val="clear" w:color="auto" w:fill="FFC000" w:themeFill="accent4"/>
          </w:tcPr>
          <w:p w14:paraId="6C4D55D5"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+1.2%</w:t>
            </w:r>
          </w:p>
        </w:tc>
        <w:tc>
          <w:tcPr>
            <w:tcW w:w="1187" w:type="dxa"/>
            <w:shd w:val="clear" w:color="auto" w:fill="FFC000" w:themeFill="accent4"/>
          </w:tcPr>
          <w:p w14:paraId="6DE2AF48" w14:textId="77777777" w:rsidR="000B67B1" w:rsidRPr="0041722C" w:rsidRDefault="000B67B1" w:rsidP="00846313">
            <w:pPr>
              <w:pStyle w:val="Body"/>
              <w:rPr>
                <w:rFonts w:asciiTheme="minorHAnsi" w:hAnsiTheme="minorHAnsi"/>
                <w:sz w:val="20"/>
                <w:szCs w:val="20"/>
              </w:rPr>
            </w:pPr>
            <w:r w:rsidRPr="0041722C">
              <w:rPr>
                <w:rFonts w:asciiTheme="minorHAnsi" w:hAnsiTheme="minorHAnsi"/>
                <w:sz w:val="20"/>
                <w:szCs w:val="20"/>
              </w:rPr>
              <w:t>+0.8%</w:t>
            </w:r>
          </w:p>
        </w:tc>
      </w:tr>
    </w:tbl>
    <w:p w14:paraId="2C9073B0" w14:textId="77777777" w:rsidR="000B67B1" w:rsidRPr="000B67B1" w:rsidRDefault="000B67B1" w:rsidP="00050F11">
      <w:pPr>
        <w:pStyle w:val="Caption"/>
      </w:pPr>
      <w:bookmarkStart w:id="4" w:name="_Toc445239509"/>
      <w:r w:rsidRPr="000B67B1">
        <w:t xml:space="preserve">Table </w:t>
      </w:r>
      <w:fldSimple w:instr=" STYLEREF 1 \s ">
        <w:r w:rsidR="006E1FF6">
          <w:rPr>
            <w:noProof/>
          </w:rPr>
          <w:t>3</w:t>
        </w:r>
      </w:fldSimple>
      <w:r>
        <w:t>.</w:t>
      </w:r>
      <w:fldSimple w:instr=" SEQ Table \* ARABIC \s 1 ">
        <w:r>
          <w:rPr>
            <w:noProof/>
          </w:rPr>
          <w:t>1</w:t>
        </w:r>
      </w:fldSimple>
      <w:r w:rsidRPr="000B67B1">
        <w:t xml:space="preserve"> - </w:t>
      </w:r>
      <w:r w:rsidRPr="008E4BB6">
        <w:rPr>
          <w:b w:val="0"/>
        </w:rPr>
        <w:t>Change in Gentrification Indicators by N.E.T Stop</w:t>
      </w:r>
      <w:bookmarkEnd w:id="4"/>
      <w:r w:rsidR="00951922" w:rsidRPr="008E4BB6">
        <w:rPr>
          <w:b w:val="0"/>
        </w:rPr>
        <w:t xml:space="preserve"> (2001 – 2011)</w:t>
      </w:r>
    </w:p>
    <w:p w14:paraId="3CB3031A" w14:textId="77777777" w:rsidR="000B67B1" w:rsidRPr="008E4BB6" w:rsidRDefault="000B67B1" w:rsidP="00567EF1">
      <w:pPr>
        <w:pStyle w:val="Heading3"/>
      </w:pPr>
      <w:r w:rsidRPr="008E4BB6">
        <w:t>Average Price Paid</w:t>
      </w:r>
    </w:p>
    <w:p w14:paraId="3A8ABFF5" w14:textId="77777777" w:rsidR="000B67B1" w:rsidRPr="00857AED" w:rsidRDefault="000B67B1" w:rsidP="00050F11">
      <w:r w:rsidRPr="00857AED">
        <w:t xml:space="preserve">The strongest growth in average price paid was between </w:t>
      </w:r>
      <w:r w:rsidRPr="00857AED">
        <w:rPr>
          <w:i/>
          <w:iCs/>
        </w:rPr>
        <w:t>The Forest</w:t>
      </w:r>
      <w:r w:rsidRPr="00857AED">
        <w:t xml:space="preserve"> and </w:t>
      </w:r>
      <w:r w:rsidRPr="00857AED">
        <w:rPr>
          <w:i/>
          <w:iCs/>
        </w:rPr>
        <w:t>Basford</w:t>
      </w:r>
      <w:r w:rsidRPr="00857AED">
        <w:t xml:space="preserve"> for which growth figures of between 86%-95% over the monitored period were observed, indicating a potential premium paid on properties in these areas. The stops are located in the adjacent inner-city neighbourhoods of Forest Fields and Hyson Green, an area identified as eligible for gentrification to occur. These are areas that have previously suffered from areas of long-standing unemployment, increased poverty, social exclusion and a persistent negative social image (JR, 1999). These areas have the largest ethnic minority population in the city and have a varied range of different cultures. Hyson Green is second largest area of the city for retail after the city centre and has a thriving local economy. It is important to consider these external aspects when considering the impact on the influences behind observed increases in house prices (Mohammed et al, 2013). </w:t>
      </w:r>
    </w:p>
    <w:p w14:paraId="77F2E6BA" w14:textId="77777777" w:rsidR="000B67B1" w:rsidRDefault="000B67B1" w:rsidP="00050F11"/>
    <w:p w14:paraId="3C8A6DC6" w14:textId="77777777" w:rsidR="000B67B1" w:rsidRDefault="007E3B27" w:rsidP="00050F11">
      <w:r>
        <w:t>Figure 2</w:t>
      </w:r>
      <w:r w:rsidR="000B67B1" w:rsidRPr="00857AED">
        <w:t>.1 represents the other areas of strong growth in housing value that have taken place across the city. The map shows that a lot of the growth has occurred within the inner city although the distribution is very fragmented with an equal number of high growth zones (138-218%) and low growth zones (-30-50%). Other clusters of growth are located in the western suburban areas of the city (</w:t>
      </w:r>
      <w:proofErr w:type="spellStart"/>
      <w:r w:rsidR="000B67B1" w:rsidRPr="00857AED">
        <w:t>Wollaton</w:t>
      </w:r>
      <w:proofErr w:type="spellEnd"/>
      <w:r w:rsidR="000B67B1" w:rsidRPr="00857AED">
        <w:t xml:space="preserve"> and </w:t>
      </w:r>
      <w:proofErr w:type="spellStart"/>
      <w:r w:rsidR="000B67B1" w:rsidRPr="00857AED">
        <w:t>Beechdale</w:t>
      </w:r>
      <w:proofErr w:type="spellEnd"/>
      <w:r w:rsidR="000B67B1" w:rsidRPr="00857AED">
        <w:t xml:space="preserve">) and also in the south of the city (Clifton and Beeston). The emerging themes from these findings link to production-based theories of gentrification </w:t>
      </w:r>
      <w:r w:rsidR="000B67B1" w:rsidRPr="00857AED">
        <w:rPr>
          <w:bCs/>
        </w:rPr>
        <w:t>which state that the process</w:t>
      </w:r>
      <w:r w:rsidR="000B67B1" w:rsidRPr="00857AED">
        <w:t xml:space="preserve"> is more likely to occur within the inner city based on the previous conditions of the housing stock and the proximity to the city centre. Originally, many researchers would have regarded changes in housing value as one of the </w:t>
      </w:r>
      <w:r w:rsidR="000B67B1" w:rsidRPr="00857AED">
        <w:rPr>
          <w:bCs/>
        </w:rPr>
        <w:t xml:space="preserve">strongest </w:t>
      </w:r>
      <w:r w:rsidR="000B67B1" w:rsidRPr="00857AED">
        <w:t xml:space="preserve">indicators that gentrification is occurring, but since the field and debate has developed, we now understand that the existence and correlation with other socio-economic indicators are just as important and that a combination of factors are often needed (Hamnett, 1991). </w:t>
      </w:r>
    </w:p>
    <w:p w14:paraId="25A216AE" w14:textId="77777777" w:rsidR="00AC4B17" w:rsidRPr="008E4BB6" w:rsidRDefault="00AC4B17" w:rsidP="00567EF1">
      <w:pPr>
        <w:pStyle w:val="Heading3"/>
      </w:pPr>
      <w:r w:rsidRPr="008E4BB6">
        <w:t>Educational Attainment</w:t>
      </w:r>
    </w:p>
    <w:p w14:paraId="564CCB34" w14:textId="77777777" w:rsidR="00AC4B17" w:rsidRPr="000B67B1" w:rsidRDefault="00AC4B17" w:rsidP="00AC4B17">
      <w:pPr>
        <w:pStyle w:val="Body"/>
      </w:pPr>
      <w:r w:rsidRPr="000B67B1">
        <w:t>The highest increases in the level of educational attainment (level 4) were more focused in areas close to or within the city centre itself, particularly in areas surrounding the University of Nottingham, indicating that the socio-economic classification of these neighborhoods has been changing gradually over the monitoring period due to a residing student population. There was weak evidence however to suggest this has occurred within gentrifiable areas of the inner city along the N.E.T route with observed changes of between +1.4 and -4.9% across these stops. This is</w:t>
      </w:r>
      <w:r w:rsidR="006E1FF6">
        <w:t xml:space="preserve"> further highlighted in Figure 3</w:t>
      </w:r>
      <w:r w:rsidRPr="000B67B1">
        <w:t xml:space="preserve">.2 which represents where these changes have been clustered. Most of the change is concentrated towards the south of the city in Beeston and Clifton, as well as the suburban areas in the east and north of the of the city. Major increases in educational attainment are an excellent indicator of gentrification as they often directly correlate to socio-economic status meaning these results show little evidence of social change and displacement of existing communities (Ley, 1980). </w:t>
      </w:r>
    </w:p>
    <w:p w14:paraId="5B1C7A5B" w14:textId="77777777" w:rsidR="00AC4B17" w:rsidRDefault="00AC4B17" w:rsidP="00050F11"/>
    <w:p w14:paraId="6E8EE78C" w14:textId="77777777" w:rsidR="00AC4B17" w:rsidRPr="008E4BB6" w:rsidRDefault="00AC4B17" w:rsidP="00567EF1">
      <w:pPr>
        <w:pStyle w:val="Heading3"/>
      </w:pPr>
      <w:r w:rsidRPr="008E4BB6">
        <w:t>Higher/Lower Managerial Occupations</w:t>
      </w:r>
    </w:p>
    <w:p w14:paraId="7B55D4AD" w14:textId="77777777" w:rsidR="00AC4B17" w:rsidRPr="00857AED" w:rsidRDefault="00AC4B17" w:rsidP="00AC4B17">
      <w:pPr>
        <w:pStyle w:val="Body"/>
      </w:pPr>
      <w:r w:rsidRPr="00857AED">
        <w:t xml:space="preserve">LSOA zones closer to the city centre experienced a decline in the proportion employed in higher managerial occupations. </w:t>
      </w:r>
      <w:r w:rsidRPr="00857AED">
        <w:rPr>
          <w:i/>
        </w:rPr>
        <w:t>Trent University</w:t>
      </w:r>
      <w:r w:rsidRPr="00857AED">
        <w:t xml:space="preserve"> to </w:t>
      </w:r>
      <w:r w:rsidRPr="00857AED">
        <w:rPr>
          <w:i/>
        </w:rPr>
        <w:t>Noel Street</w:t>
      </w:r>
      <w:r w:rsidRPr="00857AED">
        <w:t xml:space="preserve"> experienced minor decreases in the proportion of people employed in this classification of between -0.5% and -0.1% over the 10-year period. Analysis revealed that from areas around Noel Street, the higher managerial occupations increased almost progressively with distance from the city centre. Areas surrounding </w:t>
      </w:r>
      <w:r w:rsidRPr="00857AED">
        <w:rPr>
          <w:i/>
        </w:rPr>
        <w:t xml:space="preserve">Radford Road </w:t>
      </w:r>
      <w:r w:rsidRPr="00857AED">
        <w:t xml:space="preserve">and </w:t>
      </w:r>
      <w:r w:rsidRPr="00857AED">
        <w:rPr>
          <w:i/>
        </w:rPr>
        <w:t xml:space="preserve">Wilkinson Street </w:t>
      </w:r>
      <w:r w:rsidRPr="00857AED">
        <w:t xml:space="preserve">saw modest increases of between +0.1% and +0.8%, however in more suburban and affluent areas of the city such as </w:t>
      </w:r>
      <w:r w:rsidRPr="00857AED">
        <w:rPr>
          <w:i/>
        </w:rPr>
        <w:t xml:space="preserve">Highbury Vale </w:t>
      </w:r>
      <w:r w:rsidRPr="00857AED">
        <w:t xml:space="preserve">and </w:t>
      </w:r>
      <w:r w:rsidRPr="00857AED">
        <w:rPr>
          <w:i/>
        </w:rPr>
        <w:t xml:space="preserve">Cinderhill </w:t>
      </w:r>
      <w:r w:rsidRPr="00857AED">
        <w:t xml:space="preserve">occupations grew by as much as 2.6% and 2.7% which were significantly higher than the city wide average. The level of lower managerial occupations showed a similar pattern, although the decline in these types of occupations were more spread along the route. All stops within the inner city between </w:t>
      </w:r>
      <w:r w:rsidRPr="00857AED">
        <w:rPr>
          <w:i/>
        </w:rPr>
        <w:t>Trent University</w:t>
      </w:r>
      <w:r w:rsidRPr="00857AED">
        <w:t xml:space="preserve"> and </w:t>
      </w:r>
      <w:r w:rsidRPr="00857AED">
        <w:rPr>
          <w:i/>
        </w:rPr>
        <w:t xml:space="preserve">Basford </w:t>
      </w:r>
      <w:r w:rsidRPr="00857AED">
        <w:t xml:space="preserve">experience declines ranging from -2.4% to -0.1%. After which point the occupation proportions in accessible zones increase dramatically to around 2.1-2.6%. The growth of occupational proportions was also considerably varied across the urban area with substantial increases in the southern areas of the city in Beeston and Clifton as well as pockets in the north of the city to the west of Bulwell which are reflected in the results for </w:t>
      </w:r>
      <w:r w:rsidRPr="00857AED">
        <w:rPr>
          <w:i/>
        </w:rPr>
        <w:t xml:space="preserve">Phoenix Park, Cinderhill </w:t>
      </w:r>
      <w:r w:rsidRPr="00857AED">
        <w:t xml:space="preserve">and </w:t>
      </w:r>
      <w:r w:rsidRPr="00857AED">
        <w:rPr>
          <w:i/>
        </w:rPr>
        <w:t xml:space="preserve">Highbury Vale </w:t>
      </w:r>
      <w:r w:rsidRPr="00857AED">
        <w:t xml:space="preserve">stops on the N.E.T </w:t>
      </w:r>
      <w:r w:rsidRPr="00857AED">
        <w:rPr>
          <w:bCs/>
        </w:rPr>
        <w:t>(Figure</w:t>
      </w:r>
      <w:r w:rsidR="006E1FF6">
        <w:rPr>
          <w:bCs/>
        </w:rPr>
        <w:t xml:space="preserve"> 3</w:t>
      </w:r>
      <w:r w:rsidRPr="00857AED">
        <w:rPr>
          <w:bCs/>
        </w:rPr>
        <w:t>.3)</w:t>
      </w:r>
      <w:r w:rsidRPr="00857AED">
        <w:t xml:space="preserve">. The concentration of these changes across the urban area show a similar spatial distribution to that of the level of educational attainment highlighting the correlation that often exists between the level of education and income. Occupation is a key gentrification indictor in this study as it acts as a determinant of how household incomes are likely to have changed over the period, replacing the lack of readily-available income datasets that are not available in the UK, but have been used widely by similar gentrification studies in the US (Chapple, 2009). </w:t>
      </w:r>
    </w:p>
    <w:p w14:paraId="26CCE391" w14:textId="77777777" w:rsidR="00AC4B17" w:rsidRPr="00857AED" w:rsidRDefault="00AC4B17" w:rsidP="00050F11"/>
    <w:p w14:paraId="1D42E8C0" w14:textId="77777777" w:rsidR="000B67B1" w:rsidRDefault="000B67B1" w:rsidP="00050F11"/>
    <w:p w14:paraId="2AE7D4A2" w14:textId="77777777" w:rsidR="00D61218" w:rsidRDefault="000B67B1" w:rsidP="00050F11">
      <w:r w:rsidRPr="00EE5CC3">
        <w:rPr>
          <w:noProof/>
          <w:lang w:eastAsia="en-GB"/>
        </w:rPr>
        <w:drawing>
          <wp:inline distT="0" distB="0" distL="0" distR="0" wp14:anchorId="5CACC064" wp14:editId="6A5DB2A3">
            <wp:extent cx="5236845" cy="7444611"/>
            <wp:effectExtent l="0" t="0" r="190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ange in Median House Prices 2001 - 2011.jpg"/>
                    <pic:cNvPicPr/>
                  </pic:nvPicPr>
                  <pic:blipFill rotWithShape="1">
                    <a:blip r:embed="rId10" cstate="print">
                      <a:extLst>
                        <a:ext uri="{28A0092B-C50C-407E-A947-70E740481C1C}">
                          <a14:useLocalDpi xmlns:a14="http://schemas.microsoft.com/office/drawing/2010/main" val="0"/>
                        </a:ext>
                      </a:extLst>
                    </a:blip>
                    <a:srcRect l="1235" t="1998" r="2105" b="790"/>
                    <a:stretch/>
                  </pic:blipFill>
                  <pic:spPr bwMode="auto">
                    <a:xfrm>
                      <a:off x="0" y="0"/>
                      <a:ext cx="5251236" cy="74650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AD51E40" w14:textId="77777777" w:rsidR="000B67B1" w:rsidRPr="00D61218" w:rsidRDefault="00D61218" w:rsidP="00050F11">
      <w:pPr>
        <w:pStyle w:val="Caption"/>
      </w:pPr>
      <w:r>
        <w:t xml:space="preserve">Figure </w:t>
      </w:r>
      <w:fldSimple w:instr=" STYLEREF 1 \s ">
        <w:r w:rsidR="006E1FF6">
          <w:rPr>
            <w:noProof/>
          </w:rPr>
          <w:t>3</w:t>
        </w:r>
      </w:fldSimple>
      <w:r>
        <w:t>.</w:t>
      </w:r>
      <w:fldSimple w:instr=" SEQ Figure \* ARABIC \s 1 ">
        <w:r>
          <w:rPr>
            <w:noProof/>
          </w:rPr>
          <w:t>1</w:t>
        </w:r>
      </w:fldSimple>
      <w:r>
        <w:t xml:space="preserve"> - </w:t>
      </w:r>
      <w:r w:rsidRPr="008E4BB6">
        <w:rPr>
          <w:b w:val="0"/>
        </w:rPr>
        <w:t>% Change in Median Housing Value by LSOA Zone (2001 - 2011)</w:t>
      </w:r>
    </w:p>
    <w:p w14:paraId="7CF63717" w14:textId="77777777" w:rsidR="000B67B1" w:rsidRDefault="000B67B1" w:rsidP="00050F11"/>
    <w:p w14:paraId="0CAC7641" w14:textId="77777777" w:rsidR="007E3B27" w:rsidRDefault="007E3B27" w:rsidP="00050F11"/>
    <w:p w14:paraId="4F4149B2" w14:textId="77777777" w:rsidR="000B67B1" w:rsidRPr="000B67B1" w:rsidRDefault="000B67B1" w:rsidP="00050F11"/>
    <w:p w14:paraId="16B50057" w14:textId="77777777" w:rsidR="000B67B1" w:rsidRDefault="000B67B1" w:rsidP="00050F11">
      <w:r>
        <w:rPr>
          <w:noProof/>
          <w:lang w:eastAsia="en-GB"/>
        </w:rPr>
        <w:drawing>
          <wp:inline distT="0" distB="0" distL="0" distR="0" wp14:anchorId="279B1027" wp14:editId="02C76217">
            <wp:extent cx="5278120" cy="767625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al Attainment (Level 4).JPG"/>
                    <pic:cNvPicPr/>
                  </pic:nvPicPr>
                  <pic:blipFill rotWithShape="1">
                    <a:blip r:embed="rId11">
                      <a:extLst>
                        <a:ext uri="{28A0092B-C50C-407E-A947-70E740481C1C}">
                          <a14:useLocalDpi xmlns:a14="http://schemas.microsoft.com/office/drawing/2010/main" val="0"/>
                        </a:ext>
                      </a:extLst>
                    </a:blip>
                    <a:srcRect l="2646" t="1873" r="2987" b="1040"/>
                    <a:stretch/>
                  </pic:blipFill>
                  <pic:spPr bwMode="auto">
                    <a:xfrm>
                      <a:off x="0" y="0"/>
                      <a:ext cx="5278120" cy="76762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8DAD8CE" w14:textId="77777777" w:rsidR="000B67B1" w:rsidRPr="000B67B1" w:rsidRDefault="000B67B1" w:rsidP="00050F11">
      <w:pPr>
        <w:pStyle w:val="Caption"/>
        <w:rPr>
          <w:rFonts w:cs="Arial Unicode MS"/>
          <w:lang w:val="en-US"/>
        </w:rPr>
      </w:pPr>
      <w:bookmarkStart w:id="5" w:name="_Toc445239492"/>
      <w:r w:rsidRPr="000B67B1">
        <w:t xml:space="preserve">Figure </w:t>
      </w:r>
      <w:fldSimple w:instr=" STYLEREF 1 \s ">
        <w:r w:rsidR="006E1FF6">
          <w:rPr>
            <w:noProof/>
          </w:rPr>
          <w:t>3</w:t>
        </w:r>
      </w:fldSimple>
      <w:r w:rsidR="00D61218">
        <w:t>.</w:t>
      </w:r>
      <w:fldSimple w:instr=" SEQ Figure \* ARABIC \s 1 ">
        <w:r w:rsidR="00D61218">
          <w:rPr>
            <w:noProof/>
          </w:rPr>
          <w:t>2</w:t>
        </w:r>
      </w:fldSimple>
      <w:r w:rsidRPr="000B67B1">
        <w:t xml:space="preserve"> - </w:t>
      </w:r>
      <w:r w:rsidRPr="008E4BB6">
        <w:rPr>
          <w:b w:val="0"/>
        </w:rPr>
        <w:t>% Change in Level 4 Educational Attainment by LSOA Zone (2001 - 2011)</w:t>
      </w:r>
      <w:bookmarkEnd w:id="5"/>
    </w:p>
    <w:p w14:paraId="3EBC3073" w14:textId="77777777" w:rsidR="000B67B1" w:rsidRDefault="000B67B1" w:rsidP="00050F11"/>
    <w:p w14:paraId="549B8EE8" w14:textId="77777777" w:rsidR="000B67B1" w:rsidRPr="000B67B1" w:rsidRDefault="000B67B1" w:rsidP="00050F11"/>
    <w:p w14:paraId="6EC64008" w14:textId="77777777" w:rsidR="000B67B1" w:rsidRDefault="000B7F60" w:rsidP="00050F11">
      <w:r>
        <w:rPr>
          <w:noProof/>
          <w:lang w:eastAsia="en-GB"/>
        </w:rPr>
        <w:drawing>
          <wp:inline distT="0" distB="0" distL="0" distR="0" wp14:anchorId="360ACF7E" wp14:editId="57C6E506">
            <wp:extent cx="5255895" cy="7553562"/>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igher Level Occupations.JPG"/>
                    <pic:cNvPicPr/>
                  </pic:nvPicPr>
                  <pic:blipFill rotWithShape="1">
                    <a:blip r:embed="rId12">
                      <a:extLst>
                        <a:ext uri="{28A0092B-C50C-407E-A947-70E740481C1C}">
                          <a14:useLocalDpi xmlns:a14="http://schemas.microsoft.com/office/drawing/2010/main" val="0"/>
                        </a:ext>
                      </a:extLst>
                    </a:blip>
                    <a:srcRect l="2469" t="1872" r="1928" b="915"/>
                    <a:stretch/>
                  </pic:blipFill>
                  <pic:spPr bwMode="auto">
                    <a:xfrm>
                      <a:off x="0" y="0"/>
                      <a:ext cx="5268023" cy="75709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693665F" w14:textId="77777777" w:rsidR="000B67B1" w:rsidRPr="000B67B1" w:rsidRDefault="000B67B1" w:rsidP="00050F11">
      <w:pPr>
        <w:pStyle w:val="Caption"/>
      </w:pPr>
      <w:bookmarkStart w:id="6" w:name="_Toc445239493"/>
      <w:r w:rsidRPr="000B67B1">
        <w:t xml:space="preserve">Figure </w:t>
      </w:r>
      <w:fldSimple w:instr=" STYLEREF 1 \s ">
        <w:r w:rsidR="006E1FF6">
          <w:rPr>
            <w:noProof/>
          </w:rPr>
          <w:t>3</w:t>
        </w:r>
      </w:fldSimple>
      <w:r w:rsidR="00D61218">
        <w:t>.</w:t>
      </w:r>
      <w:fldSimple w:instr=" SEQ Figure \* ARABIC \s 1 ">
        <w:r w:rsidR="00D61218">
          <w:rPr>
            <w:noProof/>
          </w:rPr>
          <w:t>3</w:t>
        </w:r>
      </w:fldSimple>
      <w:r w:rsidRPr="000B67B1">
        <w:t xml:space="preserve"> - </w:t>
      </w:r>
      <w:r w:rsidRPr="006E1FF6">
        <w:rPr>
          <w:b w:val="0"/>
        </w:rPr>
        <w:t>% Change in higher and lower professional occupations by LSOA zone (2001 – 2011)</w:t>
      </w:r>
      <w:bookmarkEnd w:id="6"/>
    </w:p>
    <w:p w14:paraId="1FCB20E8" w14:textId="77777777" w:rsidR="000B67B1" w:rsidRDefault="000B67B1" w:rsidP="00050F11"/>
    <w:p w14:paraId="4EBA2851" w14:textId="77777777" w:rsidR="000B67B1" w:rsidRDefault="000B67B1" w:rsidP="00567EF1">
      <w:pPr>
        <w:pStyle w:val="Heading2"/>
      </w:pPr>
      <w:r>
        <w:t>Objective 2</w:t>
      </w:r>
    </w:p>
    <w:p w14:paraId="56A98291" w14:textId="77777777" w:rsidR="000B67B1" w:rsidRPr="00567EF1" w:rsidRDefault="000B67B1" w:rsidP="00567EF1">
      <w:pPr>
        <w:pStyle w:val="Heading3"/>
      </w:pPr>
      <w:bookmarkStart w:id="7" w:name="_Toc445239551"/>
      <w:r w:rsidRPr="00567EF1">
        <w:t>Comparison of Capital Indicators of Gentrification</w:t>
      </w:r>
      <w:bookmarkEnd w:id="7"/>
    </w:p>
    <w:p w14:paraId="4002D808" w14:textId="77777777" w:rsidR="000B67B1" w:rsidRPr="00857AED" w:rsidRDefault="000B67B1" w:rsidP="00050F11">
      <w:r w:rsidRPr="00857AED">
        <w:t>The results from comparing the changes in average price paid data and rate</w:t>
      </w:r>
      <w:r w:rsidR="00F440DF">
        <w:t>s</w:t>
      </w:r>
      <w:r w:rsidRPr="00857AED">
        <w:t xml:space="preserve"> of property turnover for the tram corridor against the control corridor between 2001 and 2011 are included in </w:t>
      </w:r>
      <w:r w:rsidR="006E1FF6">
        <w:t>the summary table below (Table 3</w:t>
      </w:r>
      <w:r w:rsidRPr="00857AED">
        <w:t xml:space="preserve">.2). It was found that in aggregate, the light-rail corridor significantly underperformed against the control corridor and the wider urban area on all of the capital indicators measured. Average prices in the control corridor increased by 75%, higher than the city average of 73% while prices in the tram corridor increased by just 65%. In addition to this, although all areas experienced a decline in the rate of property turnover (number of recorded annual transactions) the tram corridor decreased at a faster rate (-62%) to that of the control corridor (-41%) and the wider urban area (-53%). This highlights that there is a considerably lower amount of people moving into areas along the tram corridor. </w:t>
      </w:r>
    </w:p>
    <w:p w14:paraId="48267F33" w14:textId="77777777" w:rsidR="000B67B1" w:rsidRPr="000B67B1" w:rsidRDefault="000B67B1" w:rsidP="00050F11">
      <w:pPr>
        <w:rPr>
          <w:lang w:val="en-US"/>
        </w:rPr>
      </w:pPr>
    </w:p>
    <w:tbl>
      <w:tblPr>
        <w:tblW w:w="7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F4F"/>
        <w:tblLayout w:type="fixed"/>
        <w:tblLook w:val="04A0" w:firstRow="1" w:lastRow="0" w:firstColumn="1" w:lastColumn="0" w:noHBand="0" w:noVBand="1"/>
      </w:tblPr>
      <w:tblGrid>
        <w:gridCol w:w="1062"/>
        <w:gridCol w:w="2141"/>
        <w:gridCol w:w="2442"/>
        <w:gridCol w:w="2100"/>
      </w:tblGrid>
      <w:tr w:rsidR="00FF37A0" w14:paraId="3DC3C6C1" w14:textId="77777777" w:rsidTr="00951922">
        <w:trPr>
          <w:trHeight w:val="249"/>
          <w:tblHeader/>
        </w:trPr>
        <w:tc>
          <w:tcPr>
            <w:tcW w:w="1062" w:type="dxa"/>
            <w:shd w:val="clear" w:color="auto" w:fill="323E4F" w:themeFill="text2" w:themeFillShade="BF"/>
            <w:tcMar>
              <w:top w:w="0" w:type="dxa"/>
              <w:left w:w="0" w:type="dxa"/>
              <w:bottom w:w="0" w:type="dxa"/>
              <w:right w:w="0" w:type="dxa"/>
            </w:tcMar>
            <w:vAlign w:val="center"/>
          </w:tcPr>
          <w:p w14:paraId="07EAAEA2" w14:textId="77777777" w:rsidR="00FF37A0" w:rsidRPr="00951922" w:rsidRDefault="00FF37A0" w:rsidP="00FF37A0">
            <w:pPr>
              <w:pStyle w:val="Body"/>
              <w:jc w:val="center"/>
              <w:rPr>
                <w:color w:val="FFFFFF" w:themeColor="background1"/>
                <w:sz w:val="20"/>
              </w:rPr>
            </w:pPr>
          </w:p>
        </w:tc>
        <w:tc>
          <w:tcPr>
            <w:tcW w:w="2141" w:type="dxa"/>
            <w:shd w:val="clear" w:color="auto" w:fill="323E4F" w:themeFill="text2" w:themeFillShade="BF"/>
            <w:tcMar>
              <w:top w:w="0" w:type="dxa"/>
              <w:left w:w="0" w:type="dxa"/>
              <w:bottom w:w="0" w:type="dxa"/>
              <w:right w:w="0" w:type="dxa"/>
            </w:tcMar>
            <w:vAlign w:val="center"/>
          </w:tcPr>
          <w:p w14:paraId="513A2DEE" w14:textId="77777777" w:rsidR="00FF37A0" w:rsidRPr="00951922" w:rsidRDefault="00FF37A0" w:rsidP="00FF37A0">
            <w:pPr>
              <w:pStyle w:val="Body"/>
              <w:jc w:val="center"/>
              <w:rPr>
                <w:color w:val="FFFFFF" w:themeColor="background1"/>
                <w:sz w:val="20"/>
              </w:rPr>
            </w:pPr>
            <w:r w:rsidRPr="00951922">
              <w:rPr>
                <w:color w:val="FFFFFF" w:themeColor="background1"/>
                <w:sz w:val="20"/>
              </w:rPr>
              <w:t>N.E.T Corridor (LRT)</w:t>
            </w:r>
          </w:p>
        </w:tc>
        <w:tc>
          <w:tcPr>
            <w:tcW w:w="2442" w:type="dxa"/>
            <w:shd w:val="clear" w:color="auto" w:fill="323E4F" w:themeFill="text2" w:themeFillShade="BF"/>
            <w:tcMar>
              <w:top w:w="0" w:type="dxa"/>
              <w:left w:w="0" w:type="dxa"/>
              <w:bottom w:w="0" w:type="dxa"/>
              <w:right w:w="0" w:type="dxa"/>
            </w:tcMar>
            <w:vAlign w:val="center"/>
          </w:tcPr>
          <w:p w14:paraId="4000DC54" w14:textId="77777777" w:rsidR="00FF37A0" w:rsidRPr="00951922" w:rsidRDefault="00FF37A0" w:rsidP="00FF37A0">
            <w:pPr>
              <w:pStyle w:val="Body"/>
              <w:jc w:val="center"/>
              <w:rPr>
                <w:color w:val="FFFFFF" w:themeColor="background1"/>
                <w:sz w:val="20"/>
              </w:rPr>
            </w:pPr>
            <w:r w:rsidRPr="00951922">
              <w:rPr>
                <w:color w:val="FFFFFF" w:themeColor="background1"/>
                <w:sz w:val="20"/>
              </w:rPr>
              <w:t>Control Corridor (Non-LRT)</w:t>
            </w:r>
          </w:p>
        </w:tc>
        <w:tc>
          <w:tcPr>
            <w:tcW w:w="2100" w:type="dxa"/>
            <w:shd w:val="clear" w:color="auto" w:fill="323E4F" w:themeFill="text2" w:themeFillShade="BF"/>
            <w:tcMar>
              <w:top w:w="0" w:type="dxa"/>
              <w:left w:w="0" w:type="dxa"/>
              <w:bottom w:w="0" w:type="dxa"/>
              <w:right w:w="0" w:type="dxa"/>
            </w:tcMar>
            <w:vAlign w:val="center"/>
          </w:tcPr>
          <w:p w14:paraId="7C114653" w14:textId="77777777" w:rsidR="00FF37A0" w:rsidRPr="00951922" w:rsidRDefault="00FF37A0" w:rsidP="00FF37A0">
            <w:pPr>
              <w:pStyle w:val="Body"/>
              <w:jc w:val="center"/>
              <w:rPr>
                <w:color w:val="FFFFFF" w:themeColor="background1"/>
                <w:sz w:val="20"/>
              </w:rPr>
            </w:pPr>
            <w:r w:rsidRPr="00951922">
              <w:rPr>
                <w:color w:val="FFFFFF" w:themeColor="background1"/>
                <w:sz w:val="20"/>
              </w:rPr>
              <w:t>City of Nottingham</w:t>
            </w:r>
          </w:p>
        </w:tc>
      </w:tr>
      <w:tr w:rsidR="00FF37A0" w14:paraId="6C0805C3" w14:textId="77777777" w:rsidTr="00FF37A0">
        <w:tblPrEx>
          <w:shd w:val="clear" w:color="auto" w:fill="D0DDEF"/>
        </w:tblPrEx>
        <w:trPr>
          <w:trHeight w:val="249"/>
        </w:trPr>
        <w:tc>
          <w:tcPr>
            <w:tcW w:w="7745" w:type="dxa"/>
            <w:gridSpan w:val="4"/>
            <w:shd w:val="clear" w:color="auto" w:fill="323F4F"/>
            <w:tcMar>
              <w:top w:w="0" w:type="dxa"/>
              <w:left w:w="0" w:type="dxa"/>
              <w:bottom w:w="0" w:type="dxa"/>
              <w:right w:w="0" w:type="dxa"/>
            </w:tcMar>
            <w:vAlign w:val="center"/>
          </w:tcPr>
          <w:p w14:paraId="1AACA378" w14:textId="77777777" w:rsidR="00FF37A0" w:rsidRPr="00FF37A0" w:rsidRDefault="00FF37A0" w:rsidP="00FF37A0">
            <w:pPr>
              <w:pStyle w:val="Body"/>
              <w:jc w:val="center"/>
              <w:rPr>
                <w:sz w:val="20"/>
              </w:rPr>
            </w:pPr>
            <w:r w:rsidRPr="00FF37A0">
              <w:rPr>
                <w:color w:val="FFFFFF" w:themeColor="background1"/>
                <w:sz w:val="20"/>
              </w:rPr>
              <w:t>Average Price Paid (£)</w:t>
            </w:r>
          </w:p>
        </w:tc>
      </w:tr>
      <w:tr w:rsidR="00FF37A0" w14:paraId="4422094C" w14:textId="77777777" w:rsidTr="00846313">
        <w:tblPrEx>
          <w:shd w:val="clear" w:color="auto" w:fill="D0DDEF"/>
        </w:tblPrEx>
        <w:trPr>
          <w:trHeight w:val="249"/>
        </w:trPr>
        <w:tc>
          <w:tcPr>
            <w:tcW w:w="1062" w:type="dxa"/>
            <w:shd w:val="clear" w:color="auto" w:fill="323F4F"/>
            <w:tcMar>
              <w:top w:w="0" w:type="dxa"/>
              <w:left w:w="0" w:type="dxa"/>
              <w:bottom w:w="0" w:type="dxa"/>
              <w:right w:w="0" w:type="dxa"/>
            </w:tcMar>
            <w:vAlign w:val="center"/>
          </w:tcPr>
          <w:p w14:paraId="0AD1FB82" w14:textId="77777777" w:rsidR="00FF37A0" w:rsidRPr="00FF37A0" w:rsidRDefault="00FF37A0" w:rsidP="00FF37A0">
            <w:pPr>
              <w:pStyle w:val="Body"/>
              <w:jc w:val="center"/>
              <w:rPr>
                <w:color w:val="FFFFFF" w:themeColor="background1"/>
                <w:sz w:val="20"/>
              </w:rPr>
            </w:pPr>
            <w:r w:rsidRPr="00FF37A0">
              <w:rPr>
                <w:color w:val="FFFFFF" w:themeColor="background1"/>
                <w:sz w:val="20"/>
              </w:rPr>
              <w:t>2001</w:t>
            </w:r>
          </w:p>
        </w:tc>
        <w:tc>
          <w:tcPr>
            <w:tcW w:w="2141" w:type="dxa"/>
            <w:shd w:val="clear" w:color="auto" w:fill="auto"/>
            <w:tcMar>
              <w:top w:w="0" w:type="dxa"/>
              <w:left w:w="0" w:type="dxa"/>
              <w:bottom w:w="0" w:type="dxa"/>
              <w:right w:w="0" w:type="dxa"/>
            </w:tcMar>
            <w:vAlign w:val="center"/>
          </w:tcPr>
          <w:p w14:paraId="34AA72D5" w14:textId="77777777" w:rsidR="00FF37A0" w:rsidRPr="00FF37A0" w:rsidRDefault="00FF37A0" w:rsidP="00FF37A0">
            <w:pPr>
              <w:pStyle w:val="Body"/>
              <w:jc w:val="center"/>
              <w:rPr>
                <w:sz w:val="20"/>
              </w:rPr>
            </w:pPr>
            <w:r w:rsidRPr="00FF37A0">
              <w:rPr>
                <w:sz w:val="20"/>
              </w:rPr>
              <w:t>62380</w:t>
            </w:r>
          </w:p>
        </w:tc>
        <w:tc>
          <w:tcPr>
            <w:tcW w:w="2442" w:type="dxa"/>
            <w:shd w:val="clear" w:color="auto" w:fill="auto"/>
            <w:tcMar>
              <w:top w:w="0" w:type="dxa"/>
              <w:left w:w="0" w:type="dxa"/>
              <w:bottom w:w="0" w:type="dxa"/>
              <w:right w:w="0" w:type="dxa"/>
            </w:tcMar>
            <w:vAlign w:val="center"/>
          </w:tcPr>
          <w:p w14:paraId="0A042F99" w14:textId="77777777" w:rsidR="00FF37A0" w:rsidRPr="00FF37A0" w:rsidRDefault="00FF37A0" w:rsidP="00FF37A0">
            <w:pPr>
              <w:pStyle w:val="Body"/>
              <w:jc w:val="center"/>
              <w:rPr>
                <w:color w:val="000000" w:themeColor="text1"/>
                <w:sz w:val="20"/>
              </w:rPr>
            </w:pPr>
            <w:r w:rsidRPr="00FF37A0">
              <w:rPr>
                <w:color w:val="000000" w:themeColor="text1"/>
                <w:sz w:val="20"/>
              </w:rPr>
              <w:t>73509</w:t>
            </w:r>
          </w:p>
        </w:tc>
        <w:tc>
          <w:tcPr>
            <w:tcW w:w="2100" w:type="dxa"/>
            <w:shd w:val="clear" w:color="auto" w:fill="auto"/>
            <w:tcMar>
              <w:top w:w="0" w:type="dxa"/>
              <w:left w:w="0" w:type="dxa"/>
              <w:bottom w:w="0" w:type="dxa"/>
              <w:right w:w="0" w:type="dxa"/>
            </w:tcMar>
            <w:vAlign w:val="center"/>
          </w:tcPr>
          <w:p w14:paraId="5DA2A85E" w14:textId="77777777" w:rsidR="00FF37A0" w:rsidRPr="00FF37A0" w:rsidRDefault="00FF37A0" w:rsidP="00FF37A0">
            <w:pPr>
              <w:pStyle w:val="Body"/>
              <w:jc w:val="center"/>
              <w:rPr>
                <w:sz w:val="20"/>
              </w:rPr>
            </w:pPr>
            <w:r w:rsidRPr="00FF37A0">
              <w:rPr>
                <w:sz w:val="20"/>
              </w:rPr>
              <w:t>68026</w:t>
            </w:r>
          </w:p>
        </w:tc>
      </w:tr>
      <w:tr w:rsidR="00FF37A0" w14:paraId="0228B5C5" w14:textId="77777777" w:rsidTr="00846313">
        <w:tblPrEx>
          <w:shd w:val="clear" w:color="auto" w:fill="D0DDEF"/>
        </w:tblPrEx>
        <w:trPr>
          <w:trHeight w:val="249"/>
        </w:trPr>
        <w:tc>
          <w:tcPr>
            <w:tcW w:w="1062" w:type="dxa"/>
            <w:shd w:val="clear" w:color="auto" w:fill="323F4F"/>
            <w:tcMar>
              <w:top w:w="0" w:type="dxa"/>
              <w:left w:w="0" w:type="dxa"/>
              <w:bottom w:w="0" w:type="dxa"/>
              <w:right w:w="0" w:type="dxa"/>
            </w:tcMar>
            <w:vAlign w:val="center"/>
          </w:tcPr>
          <w:p w14:paraId="68CB78B5" w14:textId="77777777" w:rsidR="00FF37A0" w:rsidRPr="00FF37A0" w:rsidRDefault="00FF37A0" w:rsidP="00FF37A0">
            <w:pPr>
              <w:pStyle w:val="Body"/>
              <w:jc w:val="center"/>
              <w:rPr>
                <w:color w:val="FFFFFF" w:themeColor="background1"/>
                <w:sz w:val="20"/>
              </w:rPr>
            </w:pPr>
            <w:r w:rsidRPr="00FF37A0">
              <w:rPr>
                <w:color w:val="FFFFFF" w:themeColor="background1"/>
                <w:sz w:val="20"/>
              </w:rPr>
              <w:t>2011</w:t>
            </w:r>
          </w:p>
        </w:tc>
        <w:tc>
          <w:tcPr>
            <w:tcW w:w="2141" w:type="dxa"/>
            <w:shd w:val="clear" w:color="auto" w:fill="auto"/>
            <w:tcMar>
              <w:top w:w="0" w:type="dxa"/>
              <w:left w:w="0" w:type="dxa"/>
              <w:bottom w:w="0" w:type="dxa"/>
              <w:right w:w="0" w:type="dxa"/>
            </w:tcMar>
            <w:vAlign w:val="center"/>
          </w:tcPr>
          <w:p w14:paraId="60E29843" w14:textId="77777777" w:rsidR="00FF37A0" w:rsidRPr="00FF37A0" w:rsidRDefault="00FF37A0" w:rsidP="00FF37A0">
            <w:pPr>
              <w:pStyle w:val="Body"/>
              <w:jc w:val="center"/>
              <w:rPr>
                <w:sz w:val="20"/>
              </w:rPr>
            </w:pPr>
            <w:r w:rsidRPr="00FF37A0">
              <w:rPr>
                <w:sz w:val="20"/>
              </w:rPr>
              <w:t>102677</w:t>
            </w:r>
          </w:p>
        </w:tc>
        <w:tc>
          <w:tcPr>
            <w:tcW w:w="2442" w:type="dxa"/>
            <w:shd w:val="clear" w:color="auto" w:fill="auto"/>
            <w:tcMar>
              <w:top w:w="0" w:type="dxa"/>
              <w:left w:w="0" w:type="dxa"/>
              <w:bottom w:w="0" w:type="dxa"/>
              <w:right w:w="0" w:type="dxa"/>
            </w:tcMar>
            <w:vAlign w:val="center"/>
          </w:tcPr>
          <w:p w14:paraId="6FF81A61" w14:textId="77777777" w:rsidR="00FF37A0" w:rsidRPr="00FF37A0" w:rsidRDefault="00FF37A0" w:rsidP="00FF37A0">
            <w:pPr>
              <w:pStyle w:val="Body"/>
              <w:jc w:val="center"/>
              <w:rPr>
                <w:color w:val="000000" w:themeColor="text1"/>
                <w:sz w:val="20"/>
              </w:rPr>
            </w:pPr>
            <w:r w:rsidRPr="00FF37A0">
              <w:rPr>
                <w:color w:val="000000" w:themeColor="text1"/>
                <w:sz w:val="20"/>
              </w:rPr>
              <w:t>128366</w:t>
            </w:r>
          </w:p>
        </w:tc>
        <w:tc>
          <w:tcPr>
            <w:tcW w:w="2100" w:type="dxa"/>
            <w:shd w:val="clear" w:color="auto" w:fill="auto"/>
            <w:tcMar>
              <w:top w:w="0" w:type="dxa"/>
              <w:left w:w="0" w:type="dxa"/>
              <w:bottom w:w="0" w:type="dxa"/>
              <w:right w:w="0" w:type="dxa"/>
            </w:tcMar>
            <w:vAlign w:val="center"/>
          </w:tcPr>
          <w:p w14:paraId="1C18E57D" w14:textId="77777777" w:rsidR="00FF37A0" w:rsidRPr="00FF37A0" w:rsidRDefault="00FF37A0" w:rsidP="00FF37A0">
            <w:pPr>
              <w:pStyle w:val="Body"/>
              <w:jc w:val="center"/>
              <w:rPr>
                <w:sz w:val="20"/>
              </w:rPr>
            </w:pPr>
            <w:r w:rsidRPr="00FF37A0">
              <w:rPr>
                <w:sz w:val="20"/>
              </w:rPr>
              <w:t>118018</w:t>
            </w:r>
          </w:p>
        </w:tc>
      </w:tr>
      <w:tr w:rsidR="00FF37A0" w14:paraId="54C1FB45" w14:textId="77777777" w:rsidTr="00846313">
        <w:tblPrEx>
          <w:shd w:val="clear" w:color="auto" w:fill="D0DDEF"/>
        </w:tblPrEx>
        <w:trPr>
          <w:trHeight w:val="249"/>
        </w:trPr>
        <w:tc>
          <w:tcPr>
            <w:tcW w:w="1062" w:type="dxa"/>
            <w:shd w:val="clear" w:color="auto" w:fill="323F4F"/>
            <w:tcMar>
              <w:top w:w="0" w:type="dxa"/>
              <w:left w:w="0" w:type="dxa"/>
              <w:bottom w:w="0" w:type="dxa"/>
              <w:right w:w="0" w:type="dxa"/>
            </w:tcMar>
            <w:vAlign w:val="center"/>
          </w:tcPr>
          <w:p w14:paraId="6ED1F35F" w14:textId="77777777" w:rsidR="00FF37A0" w:rsidRPr="00FF37A0" w:rsidRDefault="00FF37A0" w:rsidP="00FF37A0">
            <w:pPr>
              <w:pStyle w:val="Body"/>
              <w:jc w:val="center"/>
              <w:rPr>
                <w:color w:val="FFFFFF" w:themeColor="background1"/>
                <w:sz w:val="20"/>
              </w:rPr>
            </w:pPr>
            <w:r w:rsidRPr="00FF37A0">
              <w:rPr>
                <w:color w:val="FFFFFF" w:themeColor="background1"/>
                <w:sz w:val="20"/>
              </w:rPr>
              <w:t>% Change</w:t>
            </w:r>
          </w:p>
        </w:tc>
        <w:tc>
          <w:tcPr>
            <w:tcW w:w="2141" w:type="dxa"/>
            <w:shd w:val="clear" w:color="auto" w:fill="auto"/>
            <w:tcMar>
              <w:top w:w="0" w:type="dxa"/>
              <w:left w:w="0" w:type="dxa"/>
              <w:bottom w:w="0" w:type="dxa"/>
              <w:right w:w="0" w:type="dxa"/>
            </w:tcMar>
            <w:vAlign w:val="center"/>
          </w:tcPr>
          <w:p w14:paraId="0772752F" w14:textId="77777777" w:rsidR="00FF37A0" w:rsidRPr="00FF37A0" w:rsidRDefault="00FF37A0" w:rsidP="00FF37A0">
            <w:pPr>
              <w:pStyle w:val="Body"/>
              <w:jc w:val="center"/>
              <w:rPr>
                <w:sz w:val="20"/>
              </w:rPr>
            </w:pPr>
            <w:r w:rsidRPr="00FF37A0">
              <w:rPr>
                <w:sz w:val="20"/>
              </w:rPr>
              <w:t>64.60%</w:t>
            </w:r>
          </w:p>
        </w:tc>
        <w:tc>
          <w:tcPr>
            <w:tcW w:w="2442" w:type="dxa"/>
            <w:shd w:val="clear" w:color="auto" w:fill="auto"/>
            <w:tcMar>
              <w:top w:w="0" w:type="dxa"/>
              <w:left w:w="0" w:type="dxa"/>
              <w:bottom w:w="0" w:type="dxa"/>
              <w:right w:w="0" w:type="dxa"/>
            </w:tcMar>
            <w:vAlign w:val="center"/>
          </w:tcPr>
          <w:p w14:paraId="4D06453E" w14:textId="77777777" w:rsidR="00FF37A0" w:rsidRPr="00FF37A0" w:rsidRDefault="00FF37A0" w:rsidP="00FF37A0">
            <w:pPr>
              <w:pStyle w:val="Body"/>
              <w:jc w:val="center"/>
              <w:rPr>
                <w:color w:val="000000" w:themeColor="text1"/>
                <w:sz w:val="20"/>
              </w:rPr>
            </w:pPr>
            <w:r w:rsidRPr="00FF37A0">
              <w:rPr>
                <w:color w:val="000000" w:themeColor="text1"/>
                <w:sz w:val="20"/>
              </w:rPr>
              <w:t>74.63%</w:t>
            </w:r>
          </w:p>
        </w:tc>
        <w:tc>
          <w:tcPr>
            <w:tcW w:w="2100" w:type="dxa"/>
            <w:shd w:val="clear" w:color="auto" w:fill="auto"/>
            <w:tcMar>
              <w:top w:w="0" w:type="dxa"/>
              <w:left w:w="0" w:type="dxa"/>
              <w:bottom w:w="0" w:type="dxa"/>
              <w:right w:w="0" w:type="dxa"/>
            </w:tcMar>
            <w:vAlign w:val="center"/>
          </w:tcPr>
          <w:p w14:paraId="049B4C12" w14:textId="77777777" w:rsidR="00FF37A0" w:rsidRPr="00FF37A0" w:rsidRDefault="00FF37A0" w:rsidP="00FF37A0">
            <w:pPr>
              <w:pStyle w:val="Body"/>
              <w:jc w:val="center"/>
              <w:rPr>
                <w:sz w:val="20"/>
              </w:rPr>
            </w:pPr>
            <w:r w:rsidRPr="00FF37A0">
              <w:rPr>
                <w:sz w:val="20"/>
              </w:rPr>
              <w:t>73.07%</w:t>
            </w:r>
          </w:p>
        </w:tc>
      </w:tr>
      <w:tr w:rsidR="00FF37A0" w14:paraId="6DDFDBDA" w14:textId="77777777" w:rsidTr="00FF37A0">
        <w:tblPrEx>
          <w:shd w:val="clear" w:color="auto" w:fill="D0DDEF"/>
        </w:tblPrEx>
        <w:trPr>
          <w:trHeight w:val="249"/>
        </w:trPr>
        <w:tc>
          <w:tcPr>
            <w:tcW w:w="7745" w:type="dxa"/>
            <w:gridSpan w:val="4"/>
            <w:shd w:val="clear" w:color="auto" w:fill="323F4F"/>
            <w:tcMar>
              <w:top w:w="0" w:type="dxa"/>
              <w:left w:w="0" w:type="dxa"/>
              <w:bottom w:w="0" w:type="dxa"/>
              <w:right w:w="0" w:type="dxa"/>
            </w:tcMar>
            <w:vAlign w:val="center"/>
          </w:tcPr>
          <w:p w14:paraId="30D170C4" w14:textId="77777777" w:rsidR="00FF37A0" w:rsidRPr="00FF37A0" w:rsidRDefault="00FF37A0" w:rsidP="00FF37A0">
            <w:pPr>
              <w:pStyle w:val="Body"/>
              <w:jc w:val="center"/>
              <w:rPr>
                <w:sz w:val="20"/>
              </w:rPr>
            </w:pPr>
            <w:r w:rsidRPr="00FF37A0">
              <w:rPr>
                <w:color w:val="FFFFFF" w:themeColor="background1"/>
                <w:sz w:val="20"/>
              </w:rPr>
              <w:t>Rate of Property Turnover (transactions per annum)</w:t>
            </w:r>
          </w:p>
        </w:tc>
      </w:tr>
      <w:tr w:rsidR="00FF37A0" w14:paraId="758F690F" w14:textId="77777777" w:rsidTr="00846313">
        <w:tblPrEx>
          <w:shd w:val="clear" w:color="auto" w:fill="D0DDEF"/>
        </w:tblPrEx>
        <w:trPr>
          <w:trHeight w:val="249"/>
        </w:trPr>
        <w:tc>
          <w:tcPr>
            <w:tcW w:w="1062" w:type="dxa"/>
            <w:shd w:val="clear" w:color="auto" w:fill="323F4F"/>
            <w:tcMar>
              <w:top w:w="0" w:type="dxa"/>
              <w:left w:w="0" w:type="dxa"/>
              <w:bottom w:w="0" w:type="dxa"/>
              <w:right w:w="0" w:type="dxa"/>
            </w:tcMar>
            <w:vAlign w:val="center"/>
          </w:tcPr>
          <w:p w14:paraId="4002336E" w14:textId="77777777" w:rsidR="00FF37A0" w:rsidRPr="00FF37A0" w:rsidRDefault="00FF37A0" w:rsidP="00FF37A0">
            <w:pPr>
              <w:pStyle w:val="Body"/>
              <w:jc w:val="center"/>
              <w:rPr>
                <w:color w:val="FFFFFF" w:themeColor="background1"/>
                <w:sz w:val="20"/>
              </w:rPr>
            </w:pPr>
            <w:r w:rsidRPr="00FF37A0">
              <w:rPr>
                <w:color w:val="FFFFFF" w:themeColor="background1"/>
                <w:sz w:val="20"/>
              </w:rPr>
              <w:t>2001</w:t>
            </w:r>
          </w:p>
        </w:tc>
        <w:tc>
          <w:tcPr>
            <w:tcW w:w="2141" w:type="dxa"/>
            <w:shd w:val="clear" w:color="auto" w:fill="auto"/>
            <w:tcMar>
              <w:top w:w="0" w:type="dxa"/>
              <w:left w:w="0" w:type="dxa"/>
              <w:bottom w:w="0" w:type="dxa"/>
              <w:right w:w="0" w:type="dxa"/>
            </w:tcMar>
            <w:vAlign w:val="center"/>
          </w:tcPr>
          <w:p w14:paraId="2F7BD8E8" w14:textId="77777777" w:rsidR="00FF37A0" w:rsidRPr="00FF37A0" w:rsidRDefault="00FF37A0" w:rsidP="00FF37A0">
            <w:pPr>
              <w:pStyle w:val="Body"/>
              <w:jc w:val="center"/>
              <w:rPr>
                <w:sz w:val="20"/>
              </w:rPr>
            </w:pPr>
            <w:r w:rsidRPr="00FF37A0">
              <w:rPr>
                <w:sz w:val="20"/>
              </w:rPr>
              <w:t>1,175</w:t>
            </w:r>
          </w:p>
        </w:tc>
        <w:tc>
          <w:tcPr>
            <w:tcW w:w="2442" w:type="dxa"/>
            <w:shd w:val="clear" w:color="auto" w:fill="auto"/>
            <w:tcMar>
              <w:top w:w="0" w:type="dxa"/>
              <w:left w:w="0" w:type="dxa"/>
              <w:bottom w:w="0" w:type="dxa"/>
              <w:right w:w="0" w:type="dxa"/>
            </w:tcMar>
            <w:vAlign w:val="center"/>
          </w:tcPr>
          <w:p w14:paraId="3D3CFCDF" w14:textId="77777777" w:rsidR="00FF37A0" w:rsidRPr="00FF37A0" w:rsidRDefault="00FF37A0" w:rsidP="00FF37A0">
            <w:pPr>
              <w:pStyle w:val="Body"/>
              <w:jc w:val="center"/>
              <w:rPr>
                <w:color w:val="000000" w:themeColor="text1"/>
                <w:sz w:val="20"/>
              </w:rPr>
            </w:pPr>
            <w:r w:rsidRPr="00FF37A0">
              <w:rPr>
                <w:color w:val="000000" w:themeColor="text1"/>
                <w:sz w:val="20"/>
              </w:rPr>
              <w:t>445</w:t>
            </w:r>
          </w:p>
        </w:tc>
        <w:tc>
          <w:tcPr>
            <w:tcW w:w="2100" w:type="dxa"/>
            <w:shd w:val="clear" w:color="auto" w:fill="auto"/>
            <w:tcMar>
              <w:top w:w="0" w:type="dxa"/>
              <w:left w:w="0" w:type="dxa"/>
              <w:bottom w:w="0" w:type="dxa"/>
              <w:right w:w="0" w:type="dxa"/>
            </w:tcMar>
            <w:vAlign w:val="center"/>
          </w:tcPr>
          <w:p w14:paraId="67BDC084" w14:textId="77777777" w:rsidR="00FF37A0" w:rsidRPr="00FF37A0" w:rsidRDefault="00FF37A0" w:rsidP="00FF37A0">
            <w:pPr>
              <w:pStyle w:val="Body"/>
              <w:jc w:val="center"/>
              <w:rPr>
                <w:sz w:val="20"/>
              </w:rPr>
            </w:pPr>
            <w:r w:rsidRPr="00FF37A0">
              <w:rPr>
                <w:sz w:val="20"/>
              </w:rPr>
              <w:t>5,627</w:t>
            </w:r>
          </w:p>
        </w:tc>
      </w:tr>
      <w:tr w:rsidR="00FF37A0" w14:paraId="73F03C10" w14:textId="77777777" w:rsidTr="00846313">
        <w:tblPrEx>
          <w:shd w:val="clear" w:color="auto" w:fill="D0DDEF"/>
        </w:tblPrEx>
        <w:trPr>
          <w:trHeight w:val="249"/>
        </w:trPr>
        <w:tc>
          <w:tcPr>
            <w:tcW w:w="1062" w:type="dxa"/>
            <w:shd w:val="clear" w:color="auto" w:fill="323F4F"/>
            <w:tcMar>
              <w:top w:w="0" w:type="dxa"/>
              <w:left w:w="0" w:type="dxa"/>
              <w:bottom w:w="0" w:type="dxa"/>
              <w:right w:w="0" w:type="dxa"/>
            </w:tcMar>
            <w:vAlign w:val="center"/>
          </w:tcPr>
          <w:p w14:paraId="19BE4DE0" w14:textId="77777777" w:rsidR="00FF37A0" w:rsidRPr="00FF37A0" w:rsidRDefault="00FF37A0" w:rsidP="00FF37A0">
            <w:pPr>
              <w:pStyle w:val="Body"/>
              <w:jc w:val="center"/>
              <w:rPr>
                <w:color w:val="FFFFFF" w:themeColor="background1"/>
                <w:sz w:val="20"/>
              </w:rPr>
            </w:pPr>
            <w:r w:rsidRPr="00FF37A0">
              <w:rPr>
                <w:color w:val="FFFFFF" w:themeColor="background1"/>
                <w:sz w:val="20"/>
              </w:rPr>
              <w:t>2011</w:t>
            </w:r>
          </w:p>
        </w:tc>
        <w:tc>
          <w:tcPr>
            <w:tcW w:w="2141" w:type="dxa"/>
            <w:shd w:val="clear" w:color="auto" w:fill="auto"/>
            <w:tcMar>
              <w:top w:w="0" w:type="dxa"/>
              <w:left w:w="0" w:type="dxa"/>
              <w:bottom w:w="0" w:type="dxa"/>
              <w:right w:w="0" w:type="dxa"/>
            </w:tcMar>
            <w:vAlign w:val="center"/>
          </w:tcPr>
          <w:p w14:paraId="34BE53BB" w14:textId="77777777" w:rsidR="00FF37A0" w:rsidRPr="00FF37A0" w:rsidRDefault="00FF37A0" w:rsidP="00FF37A0">
            <w:pPr>
              <w:pStyle w:val="Body"/>
              <w:jc w:val="center"/>
              <w:rPr>
                <w:sz w:val="20"/>
              </w:rPr>
            </w:pPr>
            <w:r w:rsidRPr="00FF37A0">
              <w:rPr>
                <w:sz w:val="20"/>
              </w:rPr>
              <w:t>441</w:t>
            </w:r>
          </w:p>
        </w:tc>
        <w:tc>
          <w:tcPr>
            <w:tcW w:w="2442" w:type="dxa"/>
            <w:shd w:val="clear" w:color="auto" w:fill="auto"/>
            <w:tcMar>
              <w:top w:w="0" w:type="dxa"/>
              <w:left w:w="0" w:type="dxa"/>
              <w:bottom w:w="0" w:type="dxa"/>
              <w:right w:w="0" w:type="dxa"/>
            </w:tcMar>
            <w:vAlign w:val="center"/>
          </w:tcPr>
          <w:p w14:paraId="049F001C" w14:textId="77777777" w:rsidR="00FF37A0" w:rsidRPr="00FF37A0" w:rsidRDefault="00FF37A0" w:rsidP="00FF37A0">
            <w:pPr>
              <w:pStyle w:val="Body"/>
              <w:jc w:val="center"/>
              <w:rPr>
                <w:color w:val="000000" w:themeColor="text1"/>
                <w:sz w:val="20"/>
              </w:rPr>
            </w:pPr>
            <w:r w:rsidRPr="00FF37A0">
              <w:rPr>
                <w:color w:val="000000" w:themeColor="text1"/>
                <w:sz w:val="20"/>
              </w:rPr>
              <w:t>263</w:t>
            </w:r>
          </w:p>
        </w:tc>
        <w:tc>
          <w:tcPr>
            <w:tcW w:w="2100" w:type="dxa"/>
            <w:shd w:val="clear" w:color="auto" w:fill="auto"/>
            <w:tcMar>
              <w:top w:w="0" w:type="dxa"/>
              <w:left w:w="0" w:type="dxa"/>
              <w:bottom w:w="0" w:type="dxa"/>
              <w:right w:w="0" w:type="dxa"/>
            </w:tcMar>
            <w:vAlign w:val="center"/>
          </w:tcPr>
          <w:p w14:paraId="62D3D71C" w14:textId="77777777" w:rsidR="00FF37A0" w:rsidRPr="00FF37A0" w:rsidRDefault="00FF37A0" w:rsidP="00FF37A0">
            <w:pPr>
              <w:pStyle w:val="Body"/>
              <w:jc w:val="center"/>
              <w:rPr>
                <w:sz w:val="20"/>
              </w:rPr>
            </w:pPr>
            <w:r w:rsidRPr="00FF37A0">
              <w:rPr>
                <w:sz w:val="20"/>
              </w:rPr>
              <w:t>2,637</w:t>
            </w:r>
          </w:p>
        </w:tc>
      </w:tr>
      <w:tr w:rsidR="00FF37A0" w14:paraId="51EC07B2" w14:textId="77777777" w:rsidTr="00846313">
        <w:tblPrEx>
          <w:shd w:val="clear" w:color="auto" w:fill="D0DDEF"/>
        </w:tblPrEx>
        <w:trPr>
          <w:trHeight w:val="249"/>
        </w:trPr>
        <w:tc>
          <w:tcPr>
            <w:tcW w:w="1062" w:type="dxa"/>
            <w:shd w:val="clear" w:color="auto" w:fill="323F4F"/>
            <w:tcMar>
              <w:top w:w="0" w:type="dxa"/>
              <w:left w:w="0" w:type="dxa"/>
              <w:bottom w:w="0" w:type="dxa"/>
              <w:right w:w="0" w:type="dxa"/>
            </w:tcMar>
            <w:vAlign w:val="center"/>
          </w:tcPr>
          <w:p w14:paraId="623D2B6B" w14:textId="77777777" w:rsidR="00FF37A0" w:rsidRPr="00FF37A0" w:rsidRDefault="00FF37A0" w:rsidP="00FF37A0">
            <w:pPr>
              <w:pStyle w:val="Body"/>
              <w:jc w:val="center"/>
              <w:rPr>
                <w:color w:val="FFFFFF" w:themeColor="background1"/>
                <w:sz w:val="20"/>
              </w:rPr>
            </w:pPr>
            <w:r w:rsidRPr="00FF37A0">
              <w:rPr>
                <w:color w:val="FFFFFF" w:themeColor="background1"/>
                <w:sz w:val="20"/>
              </w:rPr>
              <w:t>% Change</w:t>
            </w:r>
          </w:p>
        </w:tc>
        <w:tc>
          <w:tcPr>
            <w:tcW w:w="2141" w:type="dxa"/>
            <w:shd w:val="clear" w:color="auto" w:fill="auto"/>
            <w:tcMar>
              <w:top w:w="0" w:type="dxa"/>
              <w:left w:w="0" w:type="dxa"/>
              <w:bottom w:w="0" w:type="dxa"/>
              <w:right w:w="0" w:type="dxa"/>
            </w:tcMar>
            <w:vAlign w:val="center"/>
          </w:tcPr>
          <w:p w14:paraId="5FB7A094" w14:textId="77777777" w:rsidR="00FF37A0" w:rsidRPr="00FF37A0" w:rsidRDefault="00FF37A0" w:rsidP="00FF37A0">
            <w:pPr>
              <w:pStyle w:val="Body"/>
              <w:jc w:val="center"/>
              <w:rPr>
                <w:sz w:val="20"/>
              </w:rPr>
            </w:pPr>
            <w:r w:rsidRPr="00FF37A0">
              <w:rPr>
                <w:sz w:val="20"/>
              </w:rPr>
              <w:t>-62%</w:t>
            </w:r>
          </w:p>
        </w:tc>
        <w:tc>
          <w:tcPr>
            <w:tcW w:w="2442" w:type="dxa"/>
            <w:shd w:val="clear" w:color="auto" w:fill="auto"/>
            <w:tcMar>
              <w:top w:w="0" w:type="dxa"/>
              <w:left w:w="0" w:type="dxa"/>
              <w:bottom w:w="0" w:type="dxa"/>
              <w:right w:w="0" w:type="dxa"/>
            </w:tcMar>
            <w:vAlign w:val="center"/>
          </w:tcPr>
          <w:p w14:paraId="22983F82" w14:textId="77777777" w:rsidR="00FF37A0" w:rsidRPr="00FF37A0" w:rsidRDefault="00FF37A0" w:rsidP="00FF37A0">
            <w:pPr>
              <w:pStyle w:val="Body"/>
              <w:jc w:val="center"/>
              <w:rPr>
                <w:color w:val="000000" w:themeColor="text1"/>
                <w:sz w:val="20"/>
              </w:rPr>
            </w:pPr>
            <w:r w:rsidRPr="00FF37A0">
              <w:rPr>
                <w:color w:val="000000" w:themeColor="text1"/>
                <w:sz w:val="20"/>
              </w:rPr>
              <w:t>-41%</w:t>
            </w:r>
          </w:p>
        </w:tc>
        <w:tc>
          <w:tcPr>
            <w:tcW w:w="2100" w:type="dxa"/>
            <w:shd w:val="clear" w:color="auto" w:fill="auto"/>
            <w:tcMar>
              <w:top w:w="0" w:type="dxa"/>
              <w:left w:w="0" w:type="dxa"/>
              <w:bottom w:w="0" w:type="dxa"/>
              <w:right w:w="0" w:type="dxa"/>
            </w:tcMar>
            <w:vAlign w:val="center"/>
          </w:tcPr>
          <w:p w14:paraId="45C92DBA" w14:textId="77777777" w:rsidR="00FF37A0" w:rsidRPr="00FF37A0" w:rsidRDefault="00FF37A0" w:rsidP="00FF37A0">
            <w:pPr>
              <w:pStyle w:val="Body"/>
              <w:jc w:val="center"/>
              <w:rPr>
                <w:sz w:val="20"/>
              </w:rPr>
            </w:pPr>
            <w:r w:rsidRPr="00FF37A0">
              <w:rPr>
                <w:sz w:val="20"/>
              </w:rPr>
              <w:t>-53%</w:t>
            </w:r>
          </w:p>
        </w:tc>
      </w:tr>
    </w:tbl>
    <w:p w14:paraId="66F00A4F" w14:textId="77777777" w:rsidR="00FF37A0" w:rsidRPr="00FF37A0" w:rsidRDefault="00FF37A0" w:rsidP="00050F11">
      <w:pPr>
        <w:pStyle w:val="Caption"/>
      </w:pPr>
      <w:bookmarkStart w:id="8" w:name="_Toc445239510"/>
      <w:r w:rsidRPr="00FF37A0">
        <w:t xml:space="preserve">Table </w:t>
      </w:r>
      <w:fldSimple w:instr=" STYLEREF 1 \s ">
        <w:r w:rsidR="006E1FF6">
          <w:rPr>
            <w:noProof/>
          </w:rPr>
          <w:t>3</w:t>
        </w:r>
      </w:fldSimple>
      <w:r w:rsidRPr="00FF37A0">
        <w:t>.</w:t>
      </w:r>
      <w:fldSimple w:instr=" SEQ Table \* ARABIC \s 1 ">
        <w:r w:rsidRPr="00FF37A0">
          <w:t>2</w:t>
        </w:r>
      </w:fldSimple>
      <w:r w:rsidRPr="00FF37A0">
        <w:t xml:space="preserve"> – </w:t>
      </w:r>
      <w:r w:rsidRPr="006E1FF6">
        <w:rPr>
          <w:b w:val="0"/>
        </w:rPr>
        <w:t>Change in capital indicators of gentrification by study area</w:t>
      </w:r>
      <w:bookmarkEnd w:id="8"/>
    </w:p>
    <w:p w14:paraId="21C85FF4" w14:textId="77777777" w:rsidR="00FF37A0" w:rsidRDefault="00FF37A0" w:rsidP="00FF37A0">
      <w:pPr>
        <w:pStyle w:val="Body"/>
      </w:pPr>
    </w:p>
    <w:p w14:paraId="1F15D2A8" w14:textId="77777777" w:rsidR="00FF37A0" w:rsidRPr="00857AED" w:rsidRDefault="00FF37A0" w:rsidP="00FF37A0">
      <w:pPr>
        <w:pStyle w:val="Body"/>
      </w:pPr>
      <w:r w:rsidRPr="00857AED">
        <w:t>Analysing the change in these capital indicators to an index to measure growth annually between 2001 and 2011 revealed a dif</w:t>
      </w:r>
      <w:r w:rsidR="006E1FF6">
        <w:t>ferent picture however (Figure 3</w:t>
      </w:r>
      <w:r w:rsidRPr="00857AED">
        <w:t>.4). It was discovered that the relative growth in housing value in the N.E.T corridor rose slightly greater than that of the comparator areas during the pre-scheme phase between 2001 and 2004, potentially indicating how land values and speculation by property developers helped to drive up prices before the scheme’s opening (CTOD, 2008). After the introduction of N.E.T in 2004, housing value in the corridor grew at an even more substantial rate, potentially indicating how the property market responds to the introduction of the tram in the shorter term. However, from 2006/7 onwards, the value of housing in the N.E.T corridor fell at a considerably greater rate than the other comparator areas, which appeared to remain more buoyant during the economic recession. Due to the declines in growth over this period, the N.E.T corridor actually ended up being the lowest performer in terms of overall growth over the ten-year period. Although the change in the rate of property turnover varied yearly in each of the corridors, there was an overall decreasing t</w:t>
      </w:r>
      <w:r w:rsidR="006E1FF6">
        <w:t>rend for each corridor (Figure 3</w:t>
      </w:r>
      <w:r w:rsidRPr="00857AED">
        <w:t xml:space="preserve">.5). Property turnover in the N.E.T corridor decreased marginally between 2002 and 2004 possible due to the disruption caused by the scheme’s construction, while the control area increased rapidly. Interestingly, after the beginning of operation in 2004, there was a sharp decline in the rate of property turnover, but from 2005 onwards this grew rapidly to almost draw in-line with that of the control area for the same period. As to be expected, the economic recession in the post-2007 phase caused the rate of transactions to decline further for both corridors, although this again was more substantial in the light-rail corridor.  </w:t>
      </w:r>
    </w:p>
    <w:p w14:paraId="233F47A8" w14:textId="77777777" w:rsidR="000B67B1" w:rsidRDefault="000B67B1" w:rsidP="00050F11"/>
    <w:p w14:paraId="4DACBC97" w14:textId="77777777" w:rsidR="00FF37A0" w:rsidRDefault="00FF37A0" w:rsidP="00050F11">
      <w:r>
        <w:rPr>
          <w:noProof/>
          <w:lang w:eastAsia="en-GB"/>
        </w:rPr>
        <w:drawing>
          <wp:inline distT="0" distB="0" distL="0" distR="0" wp14:anchorId="044CF645" wp14:editId="17905570">
            <wp:extent cx="4975761" cy="4001985"/>
            <wp:effectExtent l="0" t="0" r="0" b="0"/>
            <wp:docPr id="107374184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CBCE69" w14:textId="77777777" w:rsidR="00FF37A0" w:rsidRDefault="00FF37A0" w:rsidP="00050F11">
      <w:pPr>
        <w:pStyle w:val="Caption"/>
      </w:pPr>
      <w:bookmarkStart w:id="9" w:name="_Toc445239494"/>
      <w:r w:rsidRPr="00FF37A0">
        <w:t xml:space="preserve">Figure </w:t>
      </w:r>
      <w:fldSimple w:instr=" STYLEREF 1 \s ">
        <w:r w:rsidR="006E1FF6">
          <w:rPr>
            <w:noProof/>
          </w:rPr>
          <w:t>3</w:t>
        </w:r>
      </w:fldSimple>
      <w:r w:rsidR="00D61218">
        <w:t>.</w:t>
      </w:r>
      <w:fldSimple w:instr=" SEQ Figure \* ARABIC \s 1 ">
        <w:r w:rsidR="00D61218">
          <w:rPr>
            <w:noProof/>
          </w:rPr>
          <w:t>4</w:t>
        </w:r>
      </w:fldSimple>
      <w:r w:rsidRPr="00FF37A0">
        <w:t xml:space="preserve"> - </w:t>
      </w:r>
      <w:r w:rsidRPr="006E1FF6">
        <w:rPr>
          <w:b w:val="0"/>
        </w:rPr>
        <w:t>Change in Average Price Paid 2001 - 2011 (Index = 100)</w:t>
      </w:r>
      <w:bookmarkEnd w:id="9"/>
    </w:p>
    <w:p w14:paraId="03BA7F05" w14:textId="77777777" w:rsidR="00FF37A0" w:rsidRPr="00FF37A0" w:rsidRDefault="00FF37A0" w:rsidP="00050F11"/>
    <w:p w14:paraId="24A79372" w14:textId="77777777" w:rsidR="00FF37A0" w:rsidRDefault="00FF37A0" w:rsidP="00050F11">
      <w:r>
        <w:rPr>
          <w:noProof/>
          <w:lang w:eastAsia="en-GB"/>
        </w:rPr>
        <w:drawing>
          <wp:inline distT="0" distB="0" distL="0" distR="0" wp14:anchorId="172A6F26" wp14:editId="51F6C6E4">
            <wp:extent cx="5118265" cy="3408218"/>
            <wp:effectExtent l="0" t="0" r="0" b="0"/>
            <wp:docPr id="107374185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D051D5" w14:textId="77777777" w:rsidR="00FF37A0" w:rsidRPr="006E1FF6" w:rsidRDefault="00FF37A0" w:rsidP="00050F11">
      <w:pPr>
        <w:pStyle w:val="Caption"/>
        <w:rPr>
          <w:b w:val="0"/>
        </w:rPr>
      </w:pPr>
      <w:bookmarkStart w:id="10" w:name="_Toc445239495"/>
      <w:r w:rsidRPr="00FF37A0">
        <w:t xml:space="preserve">Figure </w:t>
      </w:r>
      <w:fldSimple w:instr=" STYLEREF 1 \s ">
        <w:r w:rsidR="006E1FF6">
          <w:rPr>
            <w:noProof/>
          </w:rPr>
          <w:t>3</w:t>
        </w:r>
      </w:fldSimple>
      <w:r w:rsidR="00D61218">
        <w:t>.</w:t>
      </w:r>
      <w:fldSimple w:instr=" SEQ Figure \* ARABIC \s 1 ">
        <w:r w:rsidR="00D61218">
          <w:rPr>
            <w:noProof/>
          </w:rPr>
          <w:t>5</w:t>
        </w:r>
      </w:fldSimple>
      <w:r w:rsidRPr="00FF37A0">
        <w:t xml:space="preserve">  </w:t>
      </w:r>
      <w:r w:rsidRPr="006E1FF6">
        <w:rPr>
          <w:b w:val="0"/>
        </w:rPr>
        <w:t>Change in Property Turnover/Transactions 2001 - 2011 (Index = 100)</w:t>
      </w:r>
      <w:bookmarkEnd w:id="10"/>
    </w:p>
    <w:p w14:paraId="11E034EB" w14:textId="77777777" w:rsidR="00FF37A0" w:rsidRDefault="00FF37A0" w:rsidP="00567EF1">
      <w:pPr>
        <w:pStyle w:val="Heading3"/>
      </w:pPr>
      <w:r>
        <w:t>Comparison of Social Indicators of Gentrification</w:t>
      </w:r>
    </w:p>
    <w:p w14:paraId="615ADB5C" w14:textId="77777777" w:rsidR="00FF37A0" w:rsidRDefault="00FF37A0" w:rsidP="00050F11">
      <w:r w:rsidRPr="00857AED">
        <w:t>The analysis of the change in social indicators of gentrification revealed that there was evidence to suggest that the tram corridor had underpe</w:t>
      </w:r>
      <w:r w:rsidR="00AC4B17">
        <w:t xml:space="preserve">rformed on all accounts. Table </w:t>
      </w:r>
      <w:r w:rsidR="006E1FF6">
        <w:t>3</w:t>
      </w:r>
      <w:r w:rsidRPr="00857AED">
        <w:t>.3 highlights how the growth in the number of residents along the control corridor increased by 7.22% in the control corridor and 7.10% in the wider urban area, almost 5% higher than that of the tram corridor. Similar results were found for all of the other indicators including changes in socio-economic occupations, where the tram corridor increased by 1.22% comparable against the control corridor of 2.25% and the wider city of Nottingham at 2.52%. Lower managerial occupations increased in comparator areas, but decreased by -0.48% in the tram corridor, with a similar pattern observed for the change in the number of residents who directly own their property.</w:t>
      </w:r>
    </w:p>
    <w:p w14:paraId="759E36E7" w14:textId="77777777" w:rsidR="00FF37A0" w:rsidRPr="00857AED" w:rsidRDefault="00FF37A0" w:rsidP="00050F11"/>
    <w:tbl>
      <w:tblPr>
        <w:tblW w:w="7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2975"/>
        <w:gridCol w:w="1464"/>
        <w:gridCol w:w="1644"/>
        <w:gridCol w:w="1857"/>
      </w:tblGrid>
      <w:tr w:rsidR="00FF37A0" w:rsidRPr="00B946AA" w14:paraId="230DA4FA" w14:textId="77777777" w:rsidTr="00A37617">
        <w:trPr>
          <w:trHeight w:val="258"/>
        </w:trPr>
        <w:tc>
          <w:tcPr>
            <w:tcW w:w="2975" w:type="dxa"/>
            <w:shd w:val="clear" w:color="auto" w:fill="323E4F" w:themeFill="text2" w:themeFillShade="BF"/>
            <w:tcMar>
              <w:top w:w="0" w:type="dxa"/>
              <w:left w:w="0" w:type="dxa"/>
              <w:bottom w:w="0" w:type="dxa"/>
              <w:right w:w="0" w:type="dxa"/>
            </w:tcMar>
            <w:vAlign w:val="center"/>
          </w:tcPr>
          <w:p w14:paraId="51AD3DFE" w14:textId="77777777" w:rsidR="00FF37A0" w:rsidRPr="00A37617" w:rsidRDefault="00FF37A0" w:rsidP="00050F11">
            <w:pPr>
              <w:rPr>
                <w:rFonts w:cstheme="minorHAnsi"/>
                <w:sz w:val="20"/>
                <w:szCs w:val="20"/>
              </w:rPr>
            </w:pPr>
            <w:r w:rsidRPr="00A37617">
              <w:rPr>
                <w:rFonts w:cstheme="minorHAnsi"/>
                <w:sz w:val="20"/>
                <w:szCs w:val="20"/>
              </w:rPr>
              <w:t>Change 2001 – 2011 (%)</w:t>
            </w:r>
          </w:p>
        </w:tc>
        <w:tc>
          <w:tcPr>
            <w:tcW w:w="1464" w:type="dxa"/>
            <w:shd w:val="clear" w:color="auto" w:fill="323E4F" w:themeFill="text2" w:themeFillShade="BF"/>
            <w:tcMar>
              <w:top w:w="0" w:type="dxa"/>
              <w:left w:w="0" w:type="dxa"/>
              <w:bottom w:w="0" w:type="dxa"/>
              <w:right w:w="0" w:type="dxa"/>
            </w:tcMar>
            <w:vAlign w:val="center"/>
          </w:tcPr>
          <w:p w14:paraId="7E301FB2" w14:textId="77777777" w:rsidR="00FF37A0" w:rsidRPr="00A37617" w:rsidRDefault="00FF37A0" w:rsidP="00050F11">
            <w:pPr>
              <w:rPr>
                <w:rFonts w:cstheme="minorHAnsi"/>
                <w:sz w:val="20"/>
                <w:szCs w:val="20"/>
              </w:rPr>
            </w:pPr>
            <w:r w:rsidRPr="00A37617">
              <w:rPr>
                <w:rFonts w:cstheme="minorHAnsi"/>
                <w:sz w:val="20"/>
                <w:szCs w:val="20"/>
              </w:rPr>
              <w:t>N.E.T Corridor</w:t>
            </w:r>
          </w:p>
        </w:tc>
        <w:tc>
          <w:tcPr>
            <w:tcW w:w="1644" w:type="dxa"/>
            <w:shd w:val="clear" w:color="auto" w:fill="323E4F" w:themeFill="text2" w:themeFillShade="BF"/>
            <w:tcMar>
              <w:top w:w="0" w:type="dxa"/>
              <w:left w:w="0" w:type="dxa"/>
              <w:bottom w:w="0" w:type="dxa"/>
              <w:right w:w="0" w:type="dxa"/>
            </w:tcMar>
            <w:vAlign w:val="center"/>
          </w:tcPr>
          <w:p w14:paraId="173CFB7C" w14:textId="77777777" w:rsidR="00FF37A0" w:rsidRPr="00A37617" w:rsidRDefault="00FF37A0" w:rsidP="00050F11">
            <w:pPr>
              <w:rPr>
                <w:rFonts w:cstheme="minorHAnsi"/>
                <w:sz w:val="20"/>
                <w:szCs w:val="20"/>
              </w:rPr>
            </w:pPr>
            <w:r w:rsidRPr="00A37617">
              <w:rPr>
                <w:rFonts w:cstheme="minorHAnsi"/>
                <w:sz w:val="20"/>
                <w:szCs w:val="20"/>
              </w:rPr>
              <w:t>Control Corridor</w:t>
            </w:r>
          </w:p>
        </w:tc>
        <w:tc>
          <w:tcPr>
            <w:tcW w:w="1857" w:type="dxa"/>
            <w:shd w:val="clear" w:color="auto" w:fill="323E4F" w:themeFill="text2" w:themeFillShade="BF"/>
            <w:tcMar>
              <w:top w:w="0" w:type="dxa"/>
              <w:left w:w="0" w:type="dxa"/>
              <w:bottom w:w="0" w:type="dxa"/>
              <w:right w:w="0" w:type="dxa"/>
            </w:tcMar>
            <w:vAlign w:val="center"/>
          </w:tcPr>
          <w:p w14:paraId="1988756D" w14:textId="77777777" w:rsidR="00FF37A0" w:rsidRPr="00A37617" w:rsidRDefault="00FF37A0" w:rsidP="00050F11">
            <w:pPr>
              <w:rPr>
                <w:rFonts w:cstheme="minorHAnsi"/>
                <w:sz w:val="20"/>
                <w:szCs w:val="20"/>
              </w:rPr>
            </w:pPr>
            <w:r w:rsidRPr="00A37617">
              <w:rPr>
                <w:rFonts w:cstheme="minorHAnsi"/>
                <w:sz w:val="20"/>
                <w:szCs w:val="20"/>
              </w:rPr>
              <w:t>City of Nottingham</w:t>
            </w:r>
          </w:p>
        </w:tc>
      </w:tr>
      <w:tr w:rsidR="00FF37A0" w:rsidRPr="00B946AA" w14:paraId="759C9027" w14:textId="77777777" w:rsidTr="00A37617">
        <w:trPr>
          <w:trHeight w:val="258"/>
        </w:trPr>
        <w:tc>
          <w:tcPr>
            <w:tcW w:w="2975" w:type="dxa"/>
            <w:shd w:val="clear" w:color="auto" w:fill="FFFFFF" w:themeFill="background1"/>
            <w:tcMar>
              <w:top w:w="0" w:type="dxa"/>
              <w:left w:w="0" w:type="dxa"/>
              <w:bottom w:w="0" w:type="dxa"/>
              <w:right w:w="0" w:type="dxa"/>
            </w:tcMar>
            <w:vAlign w:val="center"/>
          </w:tcPr>
          <w:p w14:paraId="5D7EBE25" w14:textId="77777777" w:rsidR="00FF37A0" w:rsidRPr="00A37617" w:rsidRDefault="00FF37A0" w:rsidP="00050F11">
            <w:pPr>
              <w:rPr>
                <w:rFonts w:cstheme="minorHAnsi"/>
                <w:sz w:val="20"/>
                <w:szCs w:val="20"/>
              </w:rPr>
            </w:pPr>
            <w:r w:rsidRPr="00A37617">
              <w:rPr>
                <w:rFonts w:cstheme="minorHAnsi"/>
                <w:sz w:val="20"/>
                <w:szCs w:val="20"/>
              </w:rPr>
              <w:t>Educational Attainment (Level 4)</w:t>
            </w:r>
          </w:p>
        </w:tc>
        <w:tc>
          <w:tcPr>
            <w:tcW w:w="1464" w:type="dxa"/>
            <w:shd w:val="clear" w:color="auto" w:fill="auto"/>
            <w:tcMar>
              <w:top w:w="0" w:type="dxa"/>
              <w:left w:w="0" w:type="dxa"/>
              <w:bottom w:w="0" w:type="dxa"/>
              <w:right w:w="0" w:type="dxa"/>
            </w:tcMar>
            <w:vAlign w:val="center"/>
          </w:tcPr>
          <w:p w14:paraId="62517B8A" w14:textId="77777777" w:rsidR="00FF37A0" w:rsidRPr="00A37617" w:rsidRDefault="00FF37A0" w:rsidP="00A37617">
            <w:pPr>
              <w:jc w:val="center"/>
              <w:rPr>
                <w:rFonts w:cstheme="minorHAnsi"/>
                <w:sz w:val="20"/>
                <w:szCs w:val="20"/>
              </w:rPr>
            </w:pPr>
            <w:r w:rsidRPr="00A37617">
              <w:rPr>
                <w:rFonts w:cstheme="minorHAnsi"/>
                <w:sz w:val="20"/>
                <w:szCs w:val="20"/>
              </w:rPr>
              <w:t>2.54%</w:t>
            </w:r>
          </w:p>
        </w:tc>
        <w:tc>
          <w:tcPr>
            <w:tcW w:w="1644" w:type="dxa"/>
            <w:shd w:val="clear" w:color="auto" w:fill="auto"/>
            <w:tcMar>
              <w:top w:w="0" w:type="dxa"/>
              <w:left w:w="0" w:type="dxa"/>
              <w:bottom w:w="0" w:type="dxa"/>
              <w:right w:w="0" w:type="dxa"/>
            </w:tcMar>
            <w:vAlign w:val="center"/>
          </w:tcPr>
          <w:p w14:paraId="6AFD3EC3" w14:textId="77777777" w:rsidR="00FF37A0" w:rsidRPr="00A37617" w:rsidRDefault="00FF37A0" w:rsidP="00A37617">
            <w:pPr>
              <w:jc w:val="center"/>
              <w:rPr>
                <w:rFonts w:cstheme="minorHAnsi"/>
                <w:sz w:val="20"/>
                <w:szCs w:val="20"/>
              </w:rPr>
            </w:pPr>
            <w:r w:rsidRPr="00A37617">
              <w:rPr>
                <w:rFonts w:cstheme="minorHAnsi"/>
                <w:sz w:val="20"/>
                <w:szCs w:val="20"/>
              </w:rPr>
              <w:t>7.22%</w:t>
            </w:r>
          </w:p>
        </w:tc>
        <w:tc>
          <w:tcPr>
            <w:tcW w:w="1857" w:type="dxa"/>
            <w:shd w:val="clear" w:color="auto" w:fill="auto"/>
            <w:tcMar>
              <w:top w:w="0" w:type="dxa"/>
              <w:left w:w="0" w:type="dxa"/>
              <w:bottom w:w="0" w:type="dxa"/>
              <w:right w:w="0" w:type="dxa"/>
            </w:tcMar>
            <w:vAlign w:val="center"/>
          </w:tcPr>
          <w:p w14:paraId="105DB2AF" w14:textId="77777777" w:rsidR="00FF37A0" w:rsidRPr="00A37617" w:rsidRDefault="00FF37A0" w:rsidP="00A37617">
            <w:pPr>
              <w:jc w:val="center"/>
              <w:rPr>
                <w:rFonts w:cstheme="minorHAnsi"/>
                <w:sz w:val="20"/>
                <w:szCs w:val="20"/>
              </w:rPr>
            </w:pPr>
            <w:r w:rsidRPr="00A37617">
              <w:rPr>
                <w:rFonts w:cstheme="minorHAnsi"/>
                <w:sz w:val="20"/>
                <w:szCs w:val="20"/>
              </w:rPr>
              <w:t>7.10%</w:t>
            </w:r>
          </w:p>
        </w:tc>
      </w:tr>
      <w:tr w:rsidR="00FF37A0" w:rsidRPr="00B946AA" w14:paraId="37EFED0E" w14:textId="77777777" w:rsidTr="00A37617">
        <w:trPr>
          <w:trHeight w:val="258"/>
        </w:trPr>
        <w:tc>
          <w:tcPr>
            <w:tcW w:w="2975" w:type="dxa"/>
            <w:shd w:val="clear" w:color="auto" w:fill="FFFFFF" w:themeFill="background1"/>
            <w:tcMar>
              <w:top w:w="0" w:type="dxa"/>
              <w:left w:w="0" w:type="dxa"/>
              <w:bottom w:w="0" w:type="dxa"/>
              <w:right w:w="0" w:type="dxa"/>
            </w:tcMar>
            <w:vAlign w:val="center"/>
          </w:tcPr>
          <w:p w14:paraId="12532B4C" w14:textId="77777777" w:rsidR="00FF37A0" w:rsidRPr="00A37617" w:rsidRDefault="00FF37A0" w:rsidP="00050F11">
            <w:pPr>
              <w:rPr>
                <w:rFonts w:cstheme="minorHAnsi"/>
                <w:sz w:val="20"/>
                <w:szCs w:val="20"/>
              </w:rPr>
            </w:pPr>
            <w:r w:rsidRPr="00A37617">
              <w:rPr>
                <w:rFonts w:cstheme="minorHAnsi"/>
                <w:sz w:val="20"/>
                <w:szCs w:val="20"/>
              </w:rPr>
              <w:t>Higher Level Occupations</w:t>
            </w:r>
          </w:p>
        </w:tc>
        <w:tc>
          <w:tcPr>
            <w:tcW w:w="1464" w:type="dxa"/>
            <w:shd w:val="clear" w:color="auto" w:fill="auto"/>
            <w:tcMar>
              <w:top w:w="0" w:type="dxa"/>
              <w:left w:w="0" w:type="dxa"/>
              <w:bottom w:w="0" w:type="dxa"/>
              <w:right w:w="0" w:type="dxa"/>
            </w:tcMar>
            <w:vAlign w:val="center"/>
          </w:tcPr>
          <w:p w14:paraId="1BB0B14B" w14:textId="77777777" w:rsidR="00FF37A0" w:rsidRPr="00A37617" w:rsidRDefault="00FF37A0" w:rsidP="00A37617">
            <w:pPr>
              <w:jc w:val="center"/>
              <w:rPr>
                <w:rFonts w:cstheme="minorHAnsi"/>
                <w:sz w:val="20"/>
                <w:szCs w:val="20"/>
              </w:rPr>
            </w:pPr>
            <w:r w:rsidRPr="00A37617">
              <w:rPr>
                <w:rFonts w:cstheme="minorHAnsi"/>
                <w:sz w:val="20"/>
                <w:szCs w:val="20"/>
              </w:rPr>
              <w:t>1.22%</w:t>
            </w:r>
          </w:p>
        </w:tc>
        <w:tc>
          <w:tcPr>
            <w:tcW w:w="1644" w:type="dxa"/>
            <w:shd w:val="clear" w:color="auto" w:fill="auto"/>
            <w:tcMar>
              <w:top w:w="0" w:type="dxa"/>
              <w:left w:w="0" w:type="dxa"/>
              <w:bottom w:w="0" w:type="dxa"/>
              <w:right w:w="0" w:type="dxa"/>
            </w:tcMar>
            <w:vAlign w:val="center"/>
          </w:tcPr>
          <w:p w14:paraId="648E43F0" w14:textId="77777777" w:rsidR="00FF37A0" w:rsidRPr="00A37617" w:rsidRDefault="00FF37A0" w:rsidP="00A37617">
            <w:pPr>
              <w:jc w:val="center"/>
              <w:rPr>
                <w:rFonts w:cstheme="minorHAnsi"/>
                <w:sz w:val="20"/>
                <w:szCs w:val="20"/>
              </w:rPr>
            </w:pPr>
            <w:r w:rsidRPr="00A37617">
              <w:rPr>
                <w:rFonts w:cstheme="minorHAnsi"/>
                <w:sz w:val="20"/>
                <w:szCs w:val="20"/>
              </w:rPr>
              <w:t>2.25%</w:t>
            </w:r>
          </w:p>
        </w:tc>
        <w:tc>
          <w:tcPr>
            <w:tcW w:w="1857" w:type="dxa"/>
            <w:shd w:val="clear" w:color="auto" w:fill="auto"/>
            <w:tcMar>
              <w:top w:w="0" w:type="dxa"/>
              <w:left w:w="0" w:type="dxa"/>
              <w:bottom w:w="0" w:type="dxa"/>
              <w:right w:w="0" w:type="dxa"/>
            </w:tcMar>
            <w:vAlign w:val="center"/>
          </w:tcPr>
          <w:p w14:paraId="40D14925" w14:textId="77777777" w:rsidR="00FF37A0" w:rsidRPr="00A37617" w:rsidRDefault="00FF37A0" w:rsidP="00A37617">
            <w:pPr>
              <w:jc w:val="center"/>
              <w:rPr>
                <w:rFonts w:cstheme="minorHAnsi"/>
                <w:sz w:val="20"/>
                <w:szCs w:val="20"/>
              </w:rPr>
            </w:pPr>
            <w:r w:rsidRPr="00A37617">
              <w:rPr>
                <w:rFonts w:cstheme="minorHAnsi"/>
                <w:sz w:val="20"/>
                <w:szCs w:val="20"/>
              </w:rPr>
              <w:t>2.52%</w:t>
            </w:r>
          </w:p>
        </w:tc>
      </w:tr>
      <w:tr w:rsidR="00FF37A0" w:rsidRPr="00B946AA" w14:paraId="523C6533" w14:textId="77777777" w:rsidTr="00A37617">
        <w:trPr>
          <w:trHeight w:val="258"/>
        </w:trPr>
        <w:tc>
          <w:tcPr>
            <w:tcW w:w="2975" w:type="dxa"/>
            <w:shd w:val="clear" w:color="auto" w:fill="FFFFFF" w:themeFill="background1"/>
            <w:tcMar>
              <w:top w:w="0" w:type="dxa"/>
              <w:left w:w="0" w:type="dxa"/>
              <w:bottom w:w="0" w:type="dxa"/>
              <w:right w:w="0" w:type="dxa"/>
            </w:tcMar>
            <w:vAlign w:val="center"/>
          </w:tcPr>
          <w:p w14:paraId="0A65F90C" w14:textId="77777777" w:rsidR="00FF37A0" w:rsidRPr="00A37617" w:rsidRDefault="00FF37A0" w:rsidP="00050F11">
            <w:pPr>
              <w:rPr>
                <w:rFonts w:cstheme="minorHAnsi"/>
                <w:sz w:val="20"/>
                <w:szCs w:val="20"/>
              </w:rPr>
            </w:pPr>
            <w:r w:rsidRPr="00A37617">
              <w:rPr>
                <w:rFonts w:cstheme="minorHAnsi"/>
                <w:sz w:val="20"/>
                <w:szCs w:val="20"/>
              </w:rPr>
              <w:t xml:space="preserve">Lower </w:t>
            </w:r>
            <w:r w:rsidRPr="00A37617">
              <w:rPr>
                <w:rFonts w:cstheme="minorHAnsi"/>
                <w:sz w:val="20"/>
                <w:szCs w:val="20"/>
                <w:lang w:val="de-DE"/>
              </w:rPr>
              <w:t>Managerial</w:t>
            </w:r>
            <w:r w:rsidRPr="00A37617">
              <w:rPr>
                <w:rFonts w:cstheme="minorHAnsi"/>
                <w:sz w:val="20"/>
                <w:szCs w:val="20"/>
              </w:rPr>
              <w:t xml:space="preserve"> Occupations</w:t>
            </w:r>
          </w:p>
        </w:tc>
        <w:tc>
          <w:tcPr>
            <w:tcW w:w="1464" w:type="dxa"/>
            <w:shd w:val="clear" w:color="auto" w:fill="auto"/>
            <w:tcMar>
              <w:top w:w="0" w:type="dxa"/>
              <w:left w:w="0" w:type="dxa"/>
              <w:bottom w:w="0" w:type="dxa"/>
              <w:right w:w="0" w:type="dxa"/>
            </w:tcMar>
            <w:vAlign w:val="center"/>
          </w:tcPr>
          <w:p w14:paraId="050FF55D" w14:textId="77777777" w:rsidR="00FF37A0" w:rsidRPr="00A37617" w:rsidRDefault="00FF37A0" w:rsidP="00A37617">
            <w:pPr>
              <w:jc w:val="center"/>
              <w:rPr>
                <w:rFonts w:cstheme="minorHAnsi"/>
                <w:sz w:val="20"/>
                <w:szCs w:val="20"/>
              </w:rPr>
            </w:pPr>
            <w:r w:rsidRPr="00A37617">
              <w:rPr>
                <w:rFonts w:cstheme="minorHAnsi"/>
                <w:sz w:val="20"/>
                <w:szCs w:val="20"/>
              </w:rPr>
              <w:t>-0.48%</w:t>
            </w:r>
          </w:p>
        </w:tc>
        <w:tc>
          <w:tcPr>
            <w:tcW w:w="1644" w:type="dxa"/>
            <w:shd w:val="clear" w:color="auto" w:fill="auto"/>
            <w:tcMar>
              <w:top w:w="0" w:type="dxa"/>
              <w:left w:w="0" w:type="dxa"/>
              <w:bottom w:w="0" w:type="dxa"/>
              <w:right w:w="0" w:type="dxa"/>
            </w:tcMar>
            <w:vAlign w:val="center"/>
          </w:tcPr>
          <w:p w14:paraId="5044A682" w14:textId="77777777" w:rsidR="00FF37A0" w:rsidRPr="00A37617" w:rsidRDefault="00FF37A0" w:rsidP="00A37617">
            <w:pPr>
              <w:jc w:val="center"/>
              <w:rPr>
                <w:rFonts w:cstheme="minorHAnsi"/>
                <w:sz w:val="20"/>
                <w:szCs w:val="20"/>
              </w:rPr>
            </w:pPr>
            <w:r w:rsidRPr="00A37617">
              <w:rPr>
                <w:rFonts w:cstheme="minorHAnsi"/>
                <w:sz w:val="20"/>
                <w:szCs w:val="20"/>
              </w:rPr>
              <w:t>1.91%</w:t>
            </w:r>
          </w:p>
        </w:tc>
        <w:tc>
          <w:tcPr>
            <w:tcW w:w="1857" w:type="dxa"/>
            <w:shd w:val="clear" w:color="auto" w:fill="auto"/>
            <w:tcMar>
              <w:top w:w="0" w:type="dxa"/>
              <w:left w:w="0" w:type="dxa"/>
              <w:bottom w:w="0" w:type="dxa"/>
              <w:right w:w="0" w:type="dxa"/>
            </w:tcMar>
            <w:vAlign w:val="center"/>
          </w:tcPr>
          <w:p w14:paraId="74B4AC21" w14:textId="77777777" w:rsidR="00FF37A0" w:rsidRPr="00A37617" w:rsidRDefault="00FF37A0" w:rsidP="00A37617">
            <w:pPr>
              <w:jc w:val="center"/>
              <w:rPr>
                <w:rFonts w:cstheme="minorHAnsi"/>
                <w:sz w:val="20"/>
                <w:szCs w:val="20"/>
              </w:rPr>
            </w:pPr>
            <w:r w:rsidRPr="00A37617">
              <w:rPr>
                <w:rFonts w:cstheme="minorHAnsi"/>
                <w:sz w:val="20"/>
                <w:szCs w:val="20"/>
              </w:rPr>
              <w:t>1.17%</w:t>
            </w:r>
          </w:p>
        </w:tc>
      </w:tr>
      <w:tr w:rsidR="00FF37A0" w:rsidRPr="00B946AA" w14:paraId="29C9229E" w14:textId="77777777" w:rsidTr="00A37617">
        <w:trPr>
          <w:trHeight w:val="251"/>
        </w:trPr>
        <w:tc>
          <w:tcPr>
            <w:tcW w:w="2975" w:type="dxa"/>
            <w:shd w:val="clear" w:color="auto" w:fill="FFFFFF" w:themeFill="background1"/>
            <w:tcMar>
              <w:top w:w="0" w:type="dxa"/>
              <w:left w:w="0" w:type="dxa"/>
              <w:bottom w:w="0" w:type="dxa"/>
              <w:right w:w="0" w:type="dxa"/>
            </w:tcMar>
            <w:vAlign w:val="center"/>
          </w:tcPr>
          <w:p w14:paraId="72032F10" w14:textId="77777777" w:rsidR="00FF37A0" w:rsidRPr="00A37617" w:rsidRDefault="00FF37A0" w:rsidP="00050F11">
            <w:pPr>
              <w:rPr>
                <w:rFonts w:cstheme="minorHAnsi"/>
                <w:sz w:val="20"/>
                <w:szCs w:val="20"/>
              </w:rPr>
            </w:pPr>
            <w:r w:rsidRPr="00A37617">
              <w:rPr>
                <w:rFonts w:cstheme="minorHAnsi"/>
                <w:sz w:val="20"/>
                <w:szCs w:val="20"/>
              </w:rPr>
              <w:t>Self-Owned Housing</w:t>
            </w:r>
          </w:p>
        </w:tc>
        <w:tc>
          <w:tcPr>
            <w:tcW w:w="1464" w:type="dxa"/>
            <w:shd w:val="clear" w:color="auto" w:fill="auto"/>
            <w:tcMar>
              <w:top w:w="0" w:type="dxa"/>
              <w:left w:w="0" w:type="dxa"/>
              <w:bottom w:w="0" w:type="dxa"/>
              <w:right w:w="0" w:type="dxa"/>
            </w:tcMar>
            <w:vAlign w:val="center"/>
          </w:tcPr>
          <w:p w14:paraId="7F317B56" w14:textId="77777777" w:rsidR="00FF37A0" w:rsidRPr="00A37617" w:rsidRDefault="00FF37A0" w:rsidP="00A37617">
            <w:pPr>
              <w:jc w:val="center"/>
              <w:rPr>
                <w:rFonts w:cstheme="minorHAnsi"/>
                <w:sz w:val="20"/>
                <w:szCs w:val="20"/>
              </w:rPr>
            </w:pPr>
            <w:r w:rsidRPr="00A37617">
              <w:rPr>
                <w:rFonts w:cstheme="minorHAnsi"/>
                <w:sz w:val="20"/>
                <w:szCs w:val="20"/>
              </w:rPr>
              <w:t>-0.77%</w:t>
            </w:r>
          </w:p>
        </w:tc>
        <w:tc>
          <w:tcPr>
            <w:tcW w:w="1644" w:type="dxa"/>
            <w:shd w:val="clear" w:color="auto" w:fill="auto"/>
            <w:tcMar>
              <w:top w:w="0" w:type="dxa"/>
              <w:left w:w="0" w:type="dxa"/>
              <w:bottom w:w="0" w:type="dxa"/>
              <w:right w:w="0" w:type="dxa"/>
            </w:tcMar>
            <w:vAlign w:val="center"/>
          </w:tcPr>
          <w:p w14:paraId="28557C44" w14:textId="77777777" w:rsidR="00FF37A0" w:rsidRPr="00A37617" w:rsidRDefault="00FF37A0" w:rsidP="00A37617">
            <w:pPr>
              <w:jc w:val="center"/>
              <w:rPr>
                <w:rFonts w:cstheme="minorHAnsi"/>
                <w:sz w:val="20"/>
                <w:szCs w:val="20"/>
              </w:rPr>
            </w:pPr>
            <w:r w:rsidRPr="00A37617">
              <w:rPr>
                <w:rFonts w:cstheme="minorHAnsi"/>
                <w:sz w:val="20"/>
                <w:szCs w:val="20"/>
              </w:rPr>
              <w:t>1.82%</w:t>
            </w:r>
          </w:p>
        </w:tc>
        <w:tc>
          <w:tcPr>
            <w:tcW w:w="1857" w:type="dxa"/>
            <w:shd w:val="clear" w:color="auto" w:fill="auto"/>
            <w:tcMar>
              <w:top w:w="0" w:type="dxa"/>
              <w:left w:w="0" w:type="dxa"/>
              <w:bottom w:w="0" w:type="dxa"/>
              <w:right w:w="0" w:type="dxa"/>
            </w:tcMar>
            <w:vAlign w:val="center"/>
          </w:tcPr>
          <w:p w14:paraId="728D1770" w14:textId="77777777" w:rsidR="00FF37A0" w:rsidRPr="00A37617" w:rsidRDefault="00FF37A0" w:rsidP="00A37617">
            <w:pPr>
              <w:jc w:val="center"/>
              <w:rPr>
                <w:rFonts w:cstheme="minorHAnsi"/>
                <w:sz w:val="20"/>
                <w:szCs w:val="20"/>
              </w:rPr>
            </w:pPr>
            <w:r w:rsidRPr="00A37617">
              <w:rPr>
                <w:rFonts w:cstheme="minorHAnsi"/>
                <w:sz w:val="20"/>
                <w:szCs w:val="20"/>
              </w:rPr>
              <w:t>1.67%</w:t>
            </w:r>
          </w:p>
        </w:tc>
      </w:tr>
    </w:tbl>
    <w:p w14:paraId="2441D5DA" w14:textId="77777777" w:rsidR="00FF37A0" w:rsidRPr="00FF37A0" w:rsidRDefault="00FF37A0" w:rsidP="00050F11">
      <w:pPr>
        <w:pStyle w:val="Caption"/>
      </w:pPr>
      <w:bookmarkStart w:id="11" w:name="_Toc445239511"/>
      <w:r w:rsidRPr="00FF37A0">
        <w:t xml:space="preserve">Table </w:t>
      </w:r>
      <w:r w:rsidR="006E1FF6">
        <w:t>3</w:t>
      </w:r>
      <w:r w:rsidRPr="00FF37A0">
        <w:t>.</w:t>
      </w:r>
      <w:fldSimple w:instr=" SEQ Table \* ARABIC \s 1 ">
        <w:r w:rsidRPr="00FF37A0">
          <w:t>3</w:t>
        </w:r>
      </w:fldSimple>
      <w:r w:rsidRPr="00FF37A0">
        <w:t xml:space="preserve"> - </w:t>
      </w:r>
      <w:r w:rsidRPr="00567EF1">
        <w:rPr>
          <w:b w:val="0"/>
        </w:rPr>
        <w:t>Change in socio-economic indicators by study area</w:t>
      </w:r>
      <w:bookmarkEnd w:id="11"/>
    </w:p>
    <w:p w14:paraId="0CB5C67E" w14:textId="77777777" w:rsidR="00FF37A0" w:rsidRDefault="00FF37A0" w:rsidP="00050F11"/>
    <w:p w14:paraId="348C8F63" w14:textId="77777777" w:rsidR="00FF37A0" w:rsidRDefault="00FF37A0" w:rsidP="00050F11">
      <w:r w:rsidRPr="00857AED">
        <w:t>These findings are a major component of answering the overall research aim of this study. Although stronger evidence exists that is suggestive of gentrification in the analysis of capital variables, defining these changes can only be done when a combination of both capital and socio-economic variables are observed on all accounts (Hamnett, 1991). However, unlike the capital variables an</w:t>
      </w:r>
      <w:r w:rsidR="006E1FF6">
        <w:t>alysed in section 3</w:t>
      </w:r>
      <w:r w:rsidRPr="00857AED">
        <w:t xml:space="preserve">.2.1 the socio-economic data was not available on an annual basis, meaning that short-term trends may have yielded different results. </w:t>
      </w:r>
    </w:p>
    <w:p w14:paraId="0F65AAF9" w14:textId="77777777" w:rsidR="00FF37A0" w:rsidRDefault="00FF37A0" w:rsidP="00567EF1">
      <w:pPr>
        <w:pStyle w:val="Heading3"/>
      </w:pPr>
      <w:r>
        <w:t>Comparison by N.E.T Stop</w:t>
      </w:r>
    </w:p>
    <w:p w14:paraId="4A5CDC69" w14:textId="77777777" w:rsidR="00FF37A0" w:rsidRDefault="00FF37A0" w:rsidP="00050F11">
      <w:r w:rsidRPr="00857AED">
        <w:t>To increase the detail of the comparison, individual stops were compared between the control corridor and the tram corridor based on the similarity of gentrification precursors and distance from the city centre. As gentrification is more likely to occur within inner-city areas, it is important to ensure that both stops within each corridor have a similar competitive position to each other. Four different stops with different land use characteristics were compared along each corrido</w:t>
      </w:r>
      <w:r w:rsidR="006E1FF6">
        <w:t>r, which are outlined in Table 3</w:t>
      </w:r>
      <w:r w:rsidRPr="00857AED">
        <w:t xml:space="preserve">.4.  </w:t>
      </w:r>
    </w:p>
    <w:p w14:paraId="67808CB2" w14:textId="77777777" w:rsidR="00FF37A0" w:rsidRDefault="00FF37A0" w:rsidP="00050F11"/>
    <w:tbl>
      <w:tblPr>
        <w:tblStyle w:val="TableGrid"/>
        <w:tblW w:w="8000" w:type="dxa"/>
        <w:tblInd w:w="-5" w:type="dxa"/>
        <w:tblLayout w:type="fixed"/>
        <w:tblLook w:val="04A0" w:firstRow="1" w:lastRow="0" w:firstColumn="1" w:lastColumn="0" w:noHBand="0" w:noVBand="1"/>
      </w:tblPr>
      <w:tblGrid>
        <w:gridCol w:w="2410"/>
        <w:gridCol w:w="3402"/>
        <w:gridCol w:w="2188"/>
      </w:tblGrid>
      <w:tr w:rsidR="00FF37A0" w14:paraId="65E31F46" w14:textId="77777777" w:rsidTr="006E1FF6">
        <w:trPr>
          <w:trHeight w:val="105"/>
        </w:trPr>
        <w:tc>
          <w:tcPr>
            <w:tcW w:w="2410" w:type="dxa"/>
            <w:shd w:val="clear" w:color="auto" w:fill="323F4F"/>
          </w:tcPr>
          <w:p w14:paraId="49A27FBA" w14:textId="77777777" w:rsidR="00FF37A0" w:rsidRPr="00A37617" w:rsidRDefault="00FF37A0" w:rsidP="00050F11">
            <w:pPr>
              <w:rPr>
                <w:rFonts w:asciiTheme="minorHAnsi" w:hAnsiTheme="minorHAnsi" w:cstheme="minorHAnsi"/>
                <w:color w:val="FFFFFF" w:themeColor="background1"/>
                <w:sz w:val="20"/>
              </w:rPr>
            </w:pPr>
            <w:r w:rsidRPr="00A37617">
              <w:rPr>
                <w:rFonts w:asciiTheme="minorHAnsi" w:hAnsiTheme="minorHAnsi" w:cstheme="minorHAnsi"/>
                <w:color w:val="FFFFFF" w:themeColor="background1"/>
                <w:sz w:val="20"/>
              </w:rPr>
              <w:t>Stop Name/s</w:t>
            </w:r>
          </w:p>
        </w:tc>
        <w:tc>
          <w:tcPr>
            <w:tcW w:w="3402" w:type="dxa"/>
            <w:shd w:val="clear" w:color="auto" w:fill="323F4F"/>
          </w:tcPr>
          <w:p w14:paraId="7A0ACE18" w14:textId="77777777" w:rsidR="00FF37A0" w:rsidRPr="00A37617" w:rsidRDefault="00FF37A0" w:rsidP="00050F11">
            <w:pPr>
              <w:rPr>
                <w:rFonts w:asciiTheme="minorHAnsi" w:hAnsiTheme="minorHAnsi" w:cstheme="minorHAnsi"/>
                <w:color w:val="FFFFFF" w:themeColor="background1"/>
                <w:sz w:val="20"/>
              </w:rPr>
            </w:pPr>
            <w:r w:rsidRPr="00A37617">
              <w:rPr>
                <w:rFonts w:asciiTheme="minorHAnsi" w:hAnsiTheme="minorHAnsi" w:cstheme="minorHAnsi"/>
                <w:color w:val="FFFFFF" w:themeColor="background1"/>
                <w:sz w:val="20"/>
              </w:rPr>
              <w:t>Area Description</w:t>
            </w:r>
          </w:p>
        </w:tc>
        <w:tc>
          <w:tcPr>
            <w:tcW w:w="2188" w:type="dxa"/>
            <w:shd w:val="clear" w:color="auto" w:fill="323F4F"/>
          </w:tcPr>
          <w:p w14:paraId="0B917285" w14:textId="77777777" w:rsidR="00FF37A0" w:rsidRPr="00A37617" w:rsidRDefault="00FF37A0" w:rsidP="00050F11">
            <w:pPr>
              <w:rPr>
                <w:rFonts w:asciiTheme="minorHAnsi" w:hAnsiTheme="minorHAnsi" w:cstheme="minorHAnsi"/>
                <w:color w:val="FFFFFF" w:themeColor="background1"/>
                <w:sz w:val="20"/>
              </w:rPr>
            </w:pPr>
            <w:r w:rsidRPr="00A37617">
              <w:rPr>
                <w:rFonts w:asciiTheme="minorHAnsi" w:hAnsiTheme="minorHAnsi" w:cstheme="minorHAnsi"/>
                <w:color w:val="FFFFFF" w:themeColor="background1"/>
                <w:sz w:val="20"/>
              </w:rPr>
              <w:t>OA Classification</w:t>
            </w:r>
          </w:p>
        </w:tc>
      </w:tr>
      <w:tr w:rsidR="00FF37A0" w14:paraId="040CE79E" w14:textId="77777777" w:rsidTr="006E1FF6">
        <w:trPr>
          <w:trHeight w:val="70"/>
        </w:trPr>
        <w:tc>
          <w:tcPr>
            <w:tcW w:w="2410" w:type="dxa"/>
          </w:tcPr>
          <w:p w14:paraId="55339ACB" w14:textId="77777777" w:rsidR="00FF37A0" w:rsidRPr="006E1FF6" w:rsidRDefault="00FF37A0" w:rsidP="006E1FF6">
            <w:pPr>
              <w:rPr>
                <w:rFonts w:asciiTheme="minorHAnsi" w:hAnsiTheme="minorHAnsi" w:cstheme="minorHAnsi"/>
                <w:sz w:val="20"/>
              </w:rPr>
            </w:pPr>
            <w:r w:rsidRPr="006E1FF6">
              <w:rPr>
                <w:rFonts w:asciiTheme="minorHAnsi" w:hAnsiTheme="minorHAnsi" w:cstheme="minorHAnsi"/>
                <w:sz w:val="20"/>
              </w:rPr>
              <w:t>Trent University (LRT)</w:t>
            </w:r>
          </w:p>
          <w:p w14:paraId="37C639D5" w14:textId="77777777" w:rsidR="00FF37A0" w:rsidRPr="006E1FF6" w:rsidRDefault="00FF37A0" w:rsidP="006E1FF6">
            <w:pPr>
              <w:rPr>
                <w:rFonts w:asciiTheme="minorHAnsi" w:hAnsiTheme="minorHAnsi" w:cstheme="minorHAnsi"/>
                <w:sz w:val="20"/>
              </w:rPr>
            </w:pPr>
            <w:r w:rsidRPr="006E1FF6">
              <w:rPr>
                <w:rFonts w:asciiTheme="minorHAnsi" w:hAnsiTheme="minorHAnsi" w:cstheme="minorHAnsi"/>
                <w:sz w:val="20"/>
              </w:rPr>
              <w:t>Huntingdon St (Control)</w:t>
            </w:r>
          </w:p>
        </w:tc>
        <w:tc>
          <w:tcPr>
            <w:tcW w:w="3402" w:type="dxa"/>
          </w:tcPr>
          <w:p w14:paraId="4AA58349" w14:textId="77777777" w:rsidR="00FF37A0" w:rsidRPr="00A37617" w:rsidRDefault="00FF37A0" w:rsidP="006E1FF6">
            <w:pPr>
              <w:rPr>
                <w:rFonts w:asciiTheme="minorHAnsi" w:hAnsiTheme="minorHAnsi" w:cstheme="minorHAnsi"/>
                <w:sz w:val="20"/>
              </w:rPr>
            </w:pPr>
            <w:r w:rsidRPr="00A37617">
              <w:rPr>
                <w:rFonts w:asciiTheme="minorHAnsi" w:hAnsiTheme="minorHAnsi" w:cstheme="minorHAnsi"/>
                <w:sz w:val="20"/>
              </w:rPr>
              <w:t xml:space="preserve">High density townhouses – city centre </w:t>
            </w:r>
            <w:r w:rsidR="006E1FF6" w:rsidRPr="00A37617">
              <w:rPr>
                <w:rFonts w:asciiTheme="minorHAnsi" w:hAnsiTheme="minorHAnsi" w:cstheme="minorHAnsi"/>
                <w:sz w:val="20"/>
              </w:rPr>
              <w:t>neighbourhood</w:t>
            </w:r>
          </w:p>
        </w:tc>
        <w:tc>
          <w:tcPr>
            <w:tcW w:w="2188" w:type="dxa"/>
          </w:tcPr>
          <w:p w14:paraId="4AAA585E" w14:textId="77777777" w:rsidR="00FF37A0" w:rsidRPr="00A37617" w:rsidRDefault="00FF37A0" w:rsidP="006E1FF6">
            <w:pPr>
              <w:rPr>
                <w:rFonts w:asciiTheme="minorHAnsi" w:hAnsiTheme="minorHAnsi" w:cstheme="minorHAnsi"/>
                <w:sz w:val="20"/>
              </w:rPr>
            </w:pPr>
            <w:r w:rsidRPr="00A37617">
              <w:rPr>
                <w:rFonts w:asciiTheme="minorHAnsi" w:hAnsiTheme="minorHAnsi" w:cstheme="minorHAnsi"/>
                <w:sz w:val="20"/>
              </w:rPr>
              <w:t>Cosmopolitans</w:t>
            </w:r>
          </w:p>
        </w:tc>
      </w:tr>
      <w:tr w:rsidR="00FF37A0" w14:paraId="18A337B3" w14:textId="77777777" w:rsidTr="006E1FF6">
        <w:trPr>
          <w:trHeight w:val="279"/>
        </w:trPr>
        <w:tc>
          <w:tcPr>
            <w:tcW w:w="2410" w:type="dxa"/>
          </w:tcPr>
          <w:p w14:paraId="7E1E473A" w14:textId="77777777" w:rsidR="00FF37A0" w:rsidRPr="006E1FF6" w:rsidRDefault="00FF37A0" w:rsidP="006E1FF6">
            <w:pPr>
              <w:rPr>
                <w:rFonts w:asciiTheme="minorHAnsi" w:hAnsiTheme="minorHAnsi" w:cstheme="minorHAnsi"/>
                <w:sz w:val="20"/>
              </w:rPr>
            </w:pPr>
            <w:r w:rsidRPr="006E1FF6">
              <w:rPr>
                <w:rFonts w:asciiTheme="minorHAnsi" w:hAnsiTheme="minorHAnsi" w:cstheme="minorHAnsi"/>
                <w:sz w:val="20"/>
              </w:rPr>
              <w:t>Beaconsfield Street (N.E.T)</w:t>
            </w:r>
          </w:p>
          <w:p w14:paraId="6A9F6A10" w14:textId="77777777" w:rsidR="00FF37A0" w:rsidRPr="006E1FF6" w:rsidRDefault="00FF37A0" w:rsidP="006E1FF6">
            <w:pPr>
              <w:rPr>
                <w:rFonts w:asciiTheme="minorHAnsi" w:hAnsiTheme="minorHAnsi" w:cstheme="minorHAnsi"/>
                <w:sz w:val="20"/>
              </w:rPr>
            </w:pPr>
            <w:r w:rsidRPr="006E1FF6">
              <w:rPr>
                <w:rFonts w:asciiTheme="minorHAnsi" w:hAnsiTheme="minorHAnsi" w:cstheme="minorHAnsi"/>
                <w:sz w:val="20"/>
              </w:rPr>
              <w:t>Bernard Street (Control)</w:t>
            </w:r>
          </w:p>
        </w:tc>
        <w:tc>
          <w:tcPr>
            <w:tcW w:w="3402" w:type="dxa"/>
          </w:tcPr>
          <w:p w14:paraId="00B4DA88" w14:textId="77777777" w:rsidR="00FF37A0" w:rsidRPr="00A37617" w:rsidRDefault="00FF37A0" w:rsidP="006E1FF6">
            <w:pPr>
              <w:rPr>
                <w:rFonts w:asciiTheme="minorHAnsi" w:hAnsiTheme="minorHAnsi" w:cstheme="minorHAnsi"/>
                <w:sz w:val="20"/>
              </w:rPr>
            </w:pPr>
            <w:r w:rsidRPr="00A37617">
              <w:rPr>
                <w:rFonts w:asciiTheme="minorHAnsi" w:hAnsiTheme="minorHAnsi" w:cstheme="minorHAnsi"/>
                <w:sz w:val="20"/>
              </w:rPr>
              <w:t xml:space="preserve">High density terrace housing – inner city </w:t>
            </w:r>
            <w:r w:rsidR="006E1FF6" w:rsidRPr="00A37617">
              <w:rPr>
                <w:rFonts w:asciiTheme="minorHAnsi" w:hAnsiTheme="minorHAnsi" w:cstheme="minorHAnsi"/>
                <w:sz w:val="20"/>
              </w:rPr>
              <w:t>neighbourhood</w:t>
            </w:r>
          </w:p>
        </w:tc>
        <w:tc>
          <w:tcPr>
            <w:tcW w:w="2188" w:type="dxa"/>
          </w:tcPr>
          <w:p w14:paraId="35304A68" w14:textId="77777777" w:rsidR="00FF37A0" w:rsidRPr="00A37617" w:rsidRDefault="00FF37A0" w:rsidP="006E1FF6">
            <w:pPr>
              <w:rPr>
                <w:rFonts w:asciiTheme="minorHAnsi" w:hAnsiTheme="minorHAnsi" w:cstheme="minorHAnsi"/>
                <w:sz w:val="20"/>
              </w:rPr>
            </w:pPr>
            <w:r w:rsidRPr="00A37617">
              <w:rPr>
                <w:rFonts w:asciiTheme="minorHAnsi" w:hAnsiTheme="minorHAnsi" w:cstheme="minorHAnsi"/>
                <w:sz w:val="20"/>
              </w:rPr>
              <w:t>Multicultural Metropolitans</w:t>
            </w:r>
          </w:p>
        </w:tc>
      </w:tr>
      <w:tr w:rsidR="00FF37A0" w14:paraId="4BEF33A9" w14:textId="77777777" w:rsidTr="006E1FF6">
        <w:trPr>
          <w:trHeight w:val="341"/>
        </w:trPr>
        <w:tc>
          <w:tcPr>
            <w:tcW w:w="2410" w:type="dxa"/>
          </w:tcPr>
          <w:p w14:paraId="489C8AAE" w14:textId="77777777" w:rsidR="00FF37A0" w:rsidRPr="006E1FF6" w:rsidRDefault="00FF37A0" w:rsidP="006E1FF6">
            <w:pPr>
              <w:rPr>
                <w:rFonts w:asciiTheme="minorHAnsi" w:hAnsiTheme="minorHAnsi" w:cstheme="minorHAnsi"/>
                <w:sz w:val="20"/>
              </w:rPr>
            </w:pPr>
            <w:r w:rsidRPr="006E1FF6">
              <w:rPr>
                <w:rFonts w:asciiTheme="minorHAnsi" w:hAnsiTheme="minorHAnsi" w:cstheme="minorHAnsi"/>
                <w:sz w:val="20"/>
              </w:rPr>
              <w:t>Basford (N.E.T)</w:t>
            </w:r>
          </w:p>
          <w:p w14:paraId="388123B2" w14:textId="77777777" w:rsidR="00FF37A0" w:rsidRPr="006E1FF6" w:rsidRDefault="00FF37A0" w:rsidP="006E1FF6">
            <w:pPr>
              <w:rPr>
                <w:rFonts w:asciiTheme="minorHAnsi" w:hAnsiTheme="minorHAnsi" w:cstheme="minorHAnsi"/>
                <w:sz w:val="20"/>
              </w:rPr>
            </w:pPr>
            <w:r w:rsidRPr="006E1FF6">
              <w:rPr>
                <w:rFonts w:asciiTheme="minorHAnsi" w:hAnsiTheme="minorHAnsi" w:cstheme="minorHAnsi"/>
                <w:sz w:val="20"/>
              </w:rPr>
              <w:t>Ring Road (Control)</w:t>
            </w:r>
          </w:p>
        </w:tc>
        <w:tc>
          <w:tcPr>
            <w:tcW w:w="3402" w:type="dxa"/>
          </w:tcPr>
          <w:p w14:paraId="4D4323CD" w14:textId="77777777" w:rsidR="00FF37A0" w:rsidRPr="00A37617" w:rsidRDefault="00FF37A0" w:rsidP="006E1FF6">
            <w:pPr>
              <w:rPr>
                <w:rFonts w:asciiTheme="minorHAnsi" w:hAnsiTheme="minorHAnsi" w:cstheme="minorHAnsi"/>
                <w:sz w:val="20"/>
              </w:rPr>
            </w:pPr>
            <w:r w:rsidRPr="00A37617">
              <w:rPr>
                <w:rFonts w:asciiTheme="minorHAnsi" w:hAnsiTheme="minorHAnsi" w:cstheme="minorHAnsi"/>
                <w:sz w:val="20"/>
              </w:rPr>
              <w:t xml:space="preserve">Medium density semi-detached housing – inner city </w:t>
            </w:r>
            <w:r w:rsidR="006E1FF6" w:rsidRPr="00A37617">
              <w:rPr>
                <w:rFonts w:asciiTheme="minorHAnsi" w:hAnsiTheme="minorHAnsi" w:cstheme="minorHAnsi"/>
                <w:sz w:val="20"/>
              </w:rPr>
              <w:t>neighbourhood</w:t>
            </w:r>
          </w:p>
        </w:tc>
        <w:tc>
          <w:tcPr>
            <w:tcW w:w="2188" w:type="dxa"/>
          </w:tcPr>
          <w:p w14:paraId="23C15BE5" w14:textId="77777777" w:rsidR="00FF37A0" w:rsidRPr="00A37617" w:rsidRDefault="00FF37A0" w:rsidP="006E1FF6">
            <w:pPr>
              <w:rPr>
                <w:rFonts w:asciiTheme="minorHAnsi" w:hAnsiTheme="minorHAnsi" w:cstheme="minorHAnsi"/>
                <w:sz w:val="20"/>
              </w:rPr>
            </w:pPr>
            <w:r w:rsidRPr="00A37617">
              <w:rPr>
                <w:rFonts w:asciiTheme="minorHAnsi" w:hAnsiTheme="minorHAnsi" w:cstheme="minorHAnsi"/>
                <w:sz w:val="20"/>
              </w:rPr>
              <w:t>Multicultural Metropolitans</w:t>
            </w:r>
          </w:p>
        </w:tc>
      </w:tr>
      <w:tr w:rsidR="00FF37A0" w14:paraId="47EE575D" w14:textId="77777777" w:rsidTr="006E1FF6">
        <w:trPr>
          <w:trHeight w:val="268"/>
        </w:trPr>
        <w:tc>
          <w:tcPr>
            <w:tcW w:w="2410" w:type="dxa"/>
          </w:tcPr>
          <w:p w14:paraId="329DC192" w14:textId="77777777" w:rsidR="00FF37A0" w:rsidRPr="006E1FF6" w:rsidRDefault="00FF37A0" w:rsidP="006E1FF6">
            <w:pPr>
              <w:rPr>
                <w:rFonts w:asciiTheme="minorHAnsi" w:hAnsiTheme="minorHAnsi" w:cstheme="minorHAnsi"/>
                <w:sz w:val="20"/>
              </w:rPr>
            </w:pPr>
            <w:r w:rsidRPr="006E1FF6">
              <w:rPr>
                <w:rFonts w:asciiTheme="minorHAnsi" w:hAnsiTheme="minorHAnsi" w:cstheme="minorHAnsi"/>
                <w:sz w:val="20"/>
              </w:rPr>
              <w:t>Cinderhill (N.E.T)</w:t>
            </w:r>
          </w:p>
          <w:p w14:paraId="6917DC72" w14:textId="77777777" w:rsidR="00FF37A0" w:rsidRPr="006E1FF6" w:rsidRDefault="00FF37A0" w:rsidP="006E1FF6">
            <w:pPr>
              <w:rPr>
                <w:rFonts w:asciiTheme="minorHAnsi" w:hAnsiTheme="minorHAnsi" w:cstheme="minorHAnsi"/>
                <w:sz w:val="20"/>
              </w:rPr>
            </w:pPr>
            <w:r w:rsidRPr="006E1FF6">
              <w:rPr>
                <w:rFonts w:asciiTheme="minorHAnsi" w:hAnsiTheme="minorHAnsi" w:cstheme="minorHAnsi"/>
                <w:sz w:val="20"/>
              </w:rPr>
              <w:t>Gala Way (Control)</w:t>
            </w:r>
          </w:p>
        </w:tc>
        <w:tc>
          <w:tcPr>
            <w:tcW w:w="3402" w:type="dxa"/>
          </w:tcPr>
          <w:p w14:paraId="5370FC85" w14:textId="77777777" w:rsidR="00FF37A0" w:rsidRPr="00A37617" w:rsidRDefault="00FF37A0" w:rsidP="006E1FF6">
            <w:pPr>
              <w:rPr>
                <w:rFonts w:asciiTheme="minorHAnsi" w:hAnsiTheme="minorHAnsi" w:cstheme="minorHAnsi"/>
                <w:sz w:val="20"/>
              </w:rPr>
            </w:pPr>
            <w:r w:rsidRPr="00A37617">
              <w:rPr>
                <w:rFonts w:asciiTheme="minorHAnsi" w:hAnsiTheme="minorHAnsi" w:cstheme="minorHAnsi"/>
                <w:sz w:val="20"/>
              </w:rPr>
              <w:t xml:space="preserve">Medium density detached housing - suburban </w:t>
            </w:r>
            <w:r w:rsidR="006E1FF6" w:rsidRPr="00A37617">
              <w:rPr>
                <w:rFonts w:asciiTheme="minorHAnsi" w:hAnsiTheme="minorHAnsi" w:cstheme="minorHAnsi"/>
                <w:sz w:val="20"/>
              </w:rPr>
              <w:t>neighbourhood</w:t>
            </w:r>
          </w:p>
        </w:tc>
        <w:tc>
          <w:tcPr>
            <w:tcW w:w="2188" w:type="dxa"/>
          </w:tcPr>
          <w:p w14:paraId="309464DE" w14:textId="77777777" w:rsidR="00FF37A0" w:rsidRPr="00A37617" w:rsidRDefault="00FF37A0" w:rsidP="006E1FF6">
            <w:pPr>
              <w:rPr>
                <w:rFonts w:asciiTheme="minorHAnsi" w:hAnsiTheme="minorHAnsi" w:cstheme="minorHAnsi"/>
                <w:sz w:val="20"/>
              </w:rPr>
            </w:pPr>
            <w:r w:rsidRPr="00A37617">
              <w:rPr>
                <w:rFonts w:asciiTheme="minorHAnsi" w:hAnsiTheme="minorHAnsi" w:cstheme="minorHAnsi"/>
                <w:sz w:val="20"/>
              </w:rPr>
              <w:t>Urbanites/Suburbanites</w:t>
            </w:r>
          </w:p>
        </w:tc>
      </w:tr>
    </w:tbl>
    <w:p w14:paraId="1D9A65E6" w14:textId="77777777" w:rsidR="00FF37A0" w:rsidRPr="00FF37A0" w:rsidRDefault="00FF37A0" w:rsidP="00050F11">
      <w:pPr>
        <w:pStyle w:val="Caption"/>
      </w:pPr>
      <w:bookmarkStart w:id="12" w:name="_Toc445239512"/>
      <w:r w:rsidRPr="00FF37A0">
        <w:t xml:space="preserve">Table </w:t>
      </w:r>
      <w:fldSimple w:instr=" STYLEREF 1 \s ">
        <w:r w:rsidR="006E1FF6">
          <w:rPr>
            <w:noProof/>
          </w:rPr>
          <w:t>3</w:t>
        </w:r>
      </w:fldSimple>
      <w:r w:rsidRPr="00FF37A0">
        <w:t>.</w:t>
      </w:r>
      <w:fldSimple w:instr=" SEQ Table \* ARABIC \s 1 ">
        <w:r w:rsidRPr="00FF37A0">
          <w:t>4</w:t>
        </w:r>
      </w:fldSimple>
      <w:r w:rsidRPr="00FF37A0">
        <w:t xml:space="preserve"> – </w:t>
      </w:r>
      <w:r w:rsidRPr="006E1FF6">
        <w:rPr>
          <w:b w:val="0"/>
        </w:rPr>
        <w:t>N.E.T/Control corridor locality characteristics</w:t>
      </w:r>
      <w:bookmarkEnd w:id="12"/>
    </w:p>
    <w:p w14:paraId="4743FD99" w14:textId="77777777" w:rsidR="00FF37A0" w:rsidRDefault="00FF37A0" w:rsidP="00050F11"/>
    <w:p w14:paraId="1664B6A5" w14:textId="77777777" w:rsidR="00FF37A0" w:rsidRDefault="00FF37A0" w:rsidP="00050F11">
      <w:r w:rsidRPr="00857AED">
        <w:t>The results found that in two out of the four localities compared, the control area significantly outperformed the tram corridor on nearly all of the gentrification indica</w:t>
      </w:r>
      <w:r w:rsidR="007E3B27">
        <w:t xml:space="preserve">tors measured (Table </w:t>
      </w:r>
      <w:r w:rsidR="006E1FF6">
        <w:t>3</w:t>
      </w:r>
      <w:r w:rsidRPr="00857AED">
        <w:t>.5). The control area stops within the inner city seemed to have greater competitive position over the tram with nearly all of the gentrification indicators showing greater levels of positive change. Comparisons in more residential suburban areas of the city (i.e. Basford and Cinderhill) it was observed that the two corridors seemed to have similar levels of competitive growth across the measured gentrification indicators. The score for each stop has been highlighted in the final column. The results further highlight how the existence of the tram has a limited influence on encouraging positive socio-economic changes associated with the urban gentrification process.</w:t>
      </w:r>
    </w:p>
    <w:p w14:paraId="30BF862C" w14:textId="77777777" w:rsidR="00FF37A0" w:rsidRPr="00857AED" w:rsidRDefault="00FF37A0" w:rsidP="00050F11"/>
    <w:tbl>
      <w:tblPr>
        <w:tblStyle w:val="TableGrid"/>
        <w:tblW w:w="8038" w:type="dxa"/>
        <w:tblInd w:w="-5" w:type="dxa"/>
        <w:tblLayout w:type="fixed"/>
        <w:tblLook w:val="04A0" w:firstRow="1" w:lastRow="0" w:firstColumn="1" w:lastColumn="0" w:noHBand="0" w:noVBand="1"/>
      </w:tblPr>
      <w:tblGrid>
        <w:gridCol w:w="1279"/>
        <w:gridCol w:w="921"/>
        <w:gridCol w:w="973"/>
        <w:gridCol w:w="1186"/>
        <w:gridCol w:w="1228"/>
        <w:gridCol w:w="1254"/>
        <w:gridCol w:w="906"/>
        <w:gridCol w:w="291"/>
      </w:tblGrid>
      <w:tr w:rsidR="00FF37A0" w14:paraId="609C43B2" w14:textId="77777777" w:rsidTr="00A37617">
        <w:trPr>
          <w:trHeight w:val="536"/>
        </w:trPr>
        <w:tc>
          <w:tcPr>
            <w:tcW w:w="1279" w:type="dxa"/>
            <w:shd w:val="clear" w:color="auto" w:fill="323F4F"/>
          </w:tcPr>
          <w:p w14:paraId="3E8B2299" w14:textId="77777777" w:rsidR="00FF37A0" w:rsidRPr="00A37617" w:rsidRDefault="00FF37A0" w:rsidP="00050F11">
            <w:pPr>
              <w:rPr>
                <w:rFonts w:asciiTheme="minorHAnsi" w:hAnsiTheme="minorHAnsi" w:cstheme="minorHAnsi"/>
                <w:color w:val="FFFFFF" w:themeColor="background1"/>
                <w:sz w:val="20"/>
                <w:szCs w:val="20"/>
              </w:rPr>
            </w:pPr>
          </w:p>
        </w:tc>
        <w:tc>
          <w:tcPr>
            <w:tcW w:w="921" w:type="dxa"/>
            <w:shd w:val="clear" w:color="auto" w:fill="323F4F"/>
          </w:tcPr>
          <w:p w14:paraId="7ABB0E89" w14:textId="77777777" w:rsidR="00FF37A0" w:rsidRPr="00A37617" w:rsidRDefault="00FF37A0" w:rsidP="00050F11">
            <w:pPr>
              <w:rPr>
                <w:rFonts w:asciiTheme="minorHAnsi" w:hAnsiTheme="minorHAnsi" w:cstheme="minorHAnsi"/>
                <w:color w:val="FFFFFF" w:themeColor="background1"/>
                <w:sz w:val="20"/>
                <w:szCs w:val="20"/>
              </w:rPr>
            </w:pPr>
            <w:r w:rsidRPr="00A37617">
              <w:rPr>
                <w:rFonts w:asciiTheme="minorHAnsi" w:hAnsiTheme="minorHAnsi" w:cstheme="minorHAnsi"/>
                <w:color w:val="FFFFFF" w:themeColor="background1"/>
                <w:sz w:val="20"/>
                <w:szCs w:val="20"/>
              </w:rPr>
              <w:t>Average Price Paid</w:t>
            </w:r>
          </w:p>
        </w:tc>
        <w:tc>
          <w:tcPr>
            <w:tcW w:w="973" w:type="dxa"/>
            <w:shd w:val="clear" w:color="auto" w:fill="323F4F"/>
          </w:tcPr>
          <w:p w14:paraId="75299E7E" w14:textId="77777777" w:rsidR="00FF37A0" w:rsidRPr="00A37617" w:rsidRDefault="00FF37A0" w:rsidP="00050F11">
            <w:pPr>
              <w:rPr>
                <w:rFonts w:asciiTheme="minorHAnsi" w:hAnsiTheme="minorHAnsi" w:cstheme="minorHAnsi"/>
                <w:color w:val="FFFFFF" w:themeColor="background1"/>
                <w:sz w:val="20"/>
                <w:szCs w:val="20"/>
              </w:rPr>
            </w:pPr>
            <w:r w:rsidRPr="00A37617">
              <w:rPr>
                <w:rFonts w:asciiTheme="minorHAnsi" w:hAnsiTheme="minorHAnsi" w:cstheme="minorHAnsi"/>
                <w:color w:val="FFFFFF" w:themeColor="background1"/>
                <w:sz w:val="20"/>
                <w:szCs w:val="20"/>
              </w:rPr>
              <w:t>Property Turnover Rate</w:t>
            </w:r>
          </w:p>
        </w:tc>
        <w:tc>
          <w:tcPr>
            <w:tcW w:w="1186" w:type="dxa"/>
            <w:shd w:val="clear" w:color="auto" w:fill="323F4F"/>
          </w:tcPr>
          <w:p w14:paraId="58B24A5F" w14:textId="77777777" w:rsidR="00FF37A0" w:rsidRPr="00A37617" w:rsidRDefault="00FF37A0" w:rsidP="00050F11">
            <w:pPr>
              <w:rPr>
                <w:rFonts w:asciiTheme="minorHAnsi" w:hAnsiTheme="minorHAnsi" w:cstheme="minorHAnsi"/>
                <w:color w:val="FFFFFF" w:themeColor="background1"/>
                <w:sz w:val="20"/>
                <w:szCs w:val="20"/>
              </w:rPr>
            </w:pPr>
            <w:r w:rsidRPr="00A37617">
              <w:rPr>
                <w:rFonts w:asciiTheme="minorHAnsi" w:hAnsiTheme="minorHAnsi" w:cstheme="minorHAnsi"/>
                <w:color w:val="FFFFFF" w:themeColor="background1"/>
                <w:sz w:val="20"/>
                <w:szCs w:val="20"/>
              </w:rPr>
              <w:t>Educational Attainment (L4)</w:t>
            </w:r>
          </w:p>
        </w:tc>
        <w:tc>
          <w:tcPr>
            <w:tcW w:w="1228" w:type="dxa"/>
            <w:shd w:val="clear" w:color="auto" w:fill="323F4F"/>
          </w:tcPr>
          <w:p w14:paraId="4ADC0F6E" w14:textId="77777777" w:rsidR="00FF37A0" w:rsidRPr="00A37617" w:rsidRDefault="00FF37A0" w:rsidP="00050F11">
            <w:pPr>
              <w:rPr>
                <w:rFonts w:asciiTheme="minorHAnsi" w:hAnsiTheme="minorHAnsi" w:cstheme="minorHAnsi"/>
                <w:color w:val="FFFFFF" w:themeColor="background1"/>
                <w:sz w:val="20"/>
                <w:szCs w:val="20"/>
              </w:rPr>
            </w:pPr>
            <w:r w:rsidRPr="00A37617">
              <w:rPr>
                <w:rFonts w:asciiTheme="minorHAnsi" w:hAnsiTheme="minorHAnsi" w:cstheme="minorHAnsi"/>
                <w:color w:val="FFFFFF" w:themeColor="background1"/>
                <w:sz w:val="20"/>
                <w:szCs w:val="20"/>
              </w:rPr>
              <w:t>Higher Level Occupations</w:t>
            </w:r>
          </w:p>
        </w:tc>
        <w:tc>
          <w:tcPr>
            <w:tcW w:w="1254" w:type="dxa"/>
            <w:shd w:val="clear" w:color="auto" w:fill="323F4F"/>
          </w:tcPr>
          <w:p w14:paraId="7748BE88" w14:textId="77777777" w:rsidR="00FF37A0" w:rsidRPr="00A37617" w:rsidRDefault="00FF37A0" w:rsidP="00050F11">
            <w:pPr>
              <w:rPr>
                <w:rFonts w:asciiTheme="minorHAnsi" w:hAnsiTheme="minorHAnsi" w:cstheme="minorHAnsi"/>
                <w:color w:val="FFFFFF" w:themeColor="background1"/>
                <w:sz w:val="20"/>
                <w:szCs w:val="20"/>
              </w:rPr>
            </w:pPr>
            <w:r w:rsidRPr="00A37617">
              <w:rPr>
                <w:rFonts w:asciiTheme="minorHAnsi" w:hAnsiTheme="minorHAnsi" w:cstheme="minorHAnsi"/>
                <w:color w:val="FFFFFF" w:themeColor="background1"/>
                <w:sz w:val="20"/>
                <w:szCs w:val="20"/>
              </w:rPr>
              <w:t>Lower Managerial Occupations</w:t>
            </w:r>
          </w:p>
        </w:tc>
        <w:tc>
          <w:tcPr>
            <w:tcW w:w="906" w:type="dxa"/>
            <w:shd w:val="clear" w:color="auto" w:fill="323F4F"/>
          </w:tcPr>
          <w:p w14:paraId="3CC263DD" w14:textId="77777777" w:rsidR="00FF37A0" w:rsidRPr="00A37617" w:rsidRDefault="00FF37A0" w:rsidP="00050F11">
            <w:pPr>
              <w:rPr>
                <w:rFonts w:asciiTheme="minorHAnsi" w:hAnsiTheme="minorHAnsi" w:cstheme="minorHAnsi"/>
                <w:color w:val="FFFFFF" w:themeColor="background1"/>
                <w:sz w:val="20"/>
                <w:szCs w:val="20"/>
              </w:rPr>
            </w:pPr>
            <w:r w:rsidRPr="00A37617">
              <w:rPr>
                <w:rFonts w:asciiTheme="minorHAnsi" w:hAnsiTheme="minorHAnsi" w:cstheme="minorHAnsi"/>
                <w:color w:val="FFFFFF" w:themeColor="background1"/>
                <w:sz w:val="20"/>
                <w:szCs w:val="20"/>
              </w:rPr>
              <w:t>Self-Owned Housing</w:t>
            </w:r>
          </w:p>
        </w:tc>
        <w:tc>
          <w:tcPr>
            <w:tcW w:w="291" w:type="dxa"/>
            <w:shd w:val="clear" w:color="auto" w:fill="323F4F"/>
          </w:tcPr>
          <w:p w14:paraId="087DE3E3" w14:textId="77777777" w:rsidR="00FF37A0" w:rsidRPr="00A37617" w:rsidRDefault="00FF37A0" w:rsidP="00050F11">
            <w:pPr>
              <w:rPr>
                <w:rFonts w:asciiTheme="minorHAnsi" w:hAnsiTheme="minorHAnsi" w:cstheme="minorHAnsi"/>
                <w:color w:val="FFFFFF" w:themeColor="background1"/>
                <w:sz w:val="20"/>
                <w:szCs w:val="20"/>
              </w:rPr>
            </w:pPr>
          </w:p>
        </w:tc>
      </w:tr>
      <w:tr w:rsidR="00FF37A0" w14:paraId="36C25222" w14:textId="77777777" w:rsidTr="00A37617">
        <w:trPr>
          <w:trHeight w:val="357"/>
        </w:trPr>
        <w:tc>
          <w:tcPr>
            <w:tcW w:w="1279" w:type="dxa"/>
            <w:shd w:val="clear" w:color="auto" w:fill="auto"/>
          </w:tcPr>
          <w:p w14:paraId="65DDE166" w14:textId="77777777" w:rsidR="00FF37A0" w:rsidRPr="00A37617" w:rsidRDefault="00FF37A0" w:rsidP="00050F11">
            <w:pPr>
              <w:rPr>
                <w:rFonts w:asciiTheme="minorHAnsi" w:hAnsiTheme="minorHAnsi" w:cstheme="minorHAnsi"/>
                <w:sz w:val="20"/>
                <w:szCs w:val="20"/>
              </w:rPr>
            </w:pPr>
            <w:r w:rsidRPr="00A37617">
              <w:rPr>
                <w:rFonts w:asciiTheme="minorHAnsi" w:hAnsiTheme="minorHAnsi" w:cstheme="minorHAnsi"/>
                <w:sz w:val="20"/>
                <w:szCs w:val="20"/>
              </w:rPr>
              <w:t>Trent University (N.E.T)</w:t>
            </w:r>
          </w:p>
        </w:tc>
        <w:tc>
          <w:tcPr>
            <w:tcW w:w="921" w:type="dxa"/>
            <w:shd w:val="clear" w:color="auto" w:fill="FFFFFF" w:themeFill="background1"/>
            <w:vAlign w:val="center"/>
          </w:tcPr>
          <w:p w14:paraId="0C1CE8D0"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46.5%</w:t>
            </w:r>
          </w:p>
        </w:tc>
        <w:tc>
          <w:tcPr>
            <w:tcW w:w="973" w:type="dxa"/>
            <w:shd w:val="clear" w:color="auto" w:fill="FFFFFF" w:themeFill="background1"/>
            <w:vAlign w:val="center"/>
          </w:tcPr>
          <w:p w14:paraId="4C1C3679"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-66%</w:t>
            </w:r>
          </w:p>
        </w:tc>
        <w:tc>
          <w:tcPr>
            <w:tcW w:w="1186" w:type="dxa"/>
            <w:shd w:val="clear" w:color="auto" w:fill="FFFFFF" w:themeFill="background1"/>
            <w:vAlign w:val="center"/>
          </w:tcPr>
          <w:p w14:paraId="7162A1A9"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+4.6%</w:t>
            </w:r>
          </w:p>
        </w:tc>
        <w:tc>
          <w:tcPr>
            <w:tcW w:w="1228" w:type="dxa"/>
            <w:shd w:val="clear" w:color="auto" w:fill="FFFFFF" w:themeFill="background1"/>
            <w:vAlign w:val="center"/>
          </w:tcPr>
          <w:p w14:paraId="6FE0CB33"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-0.5%</w:t>
            </w:r>
          </w:p>
        </w:tc>
        <w:tc>
          <w:tcPr>
            <w:tcW w:w="1254" w:type="dxa"/>
            <w:shd w:val="clear" w:color="auto" w:fill="FFFFFF" w:themeFill="background1"/>
            <w:vAlign w:val="center"/>
          </w:tcPr>
          <w:p w14:paraId="1DE058A5"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-2.4%</w:t>
            </w:r>
          </w:p>
        </w:tc>
        <w:tc>
          <w:tcPr>
            <w:tcW w:w="906" w:type="dxa"/>
            <w:shd w:val="clear" w:color="auto" w:fill="FFFFFF" w:themeFill="background1"/>
            <w:vAlign w:val="center"/>
          </w:tcPr>
          <w:p w14:paraId="42B561D2"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w:t>
            </w:r>
          </w:p>
        </w:tc>
        <w:tc>
          <w:tcPr>
            <w:tcW w:w="291" w:type="dxa"/>
            <w:tcBorders>
              <w:bottom w:val="single" w:sz="4" w:space="0" w:color="auto"/>
            </w:tcBorders>
            <w:shd w:val="clear" w:color="auto" w:fill="FFFFFF" w:themeFill="background1"/>
            <w:vAlign w:val="center"/>
          </w:tcPr>
          <w:p w14:paraId="437691C0"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1</w:t>
            </w:r>
          </w:p>
        </w:tc>
      </w:tr>
      <w:tr w:rsidR="00FF37A0" w14:paraId="00BD7DAA" w14:textId="77777777" w:rsidTr="00A37617">
        <w:trPr>
          <w:trHeight w:val="416"/>
        </w:trPr>
        <w:tc>
          <w:tcPr>
            <w:tcW w:w="1279" w:type="dxa"/>
            <w:shd w:val="clear" w:color="auto" w:fill="auto"/>
          </w:tcPr>
          <w:p w14:paraId="57D5C4F5" w14:textId="77777777" w:rsidR="00FF37A0" w:rsidRPr="00A37617" w:rsidRDefault="00FF37A0" w:rsidP="00050F11">
            <w:pPr>
              <w:rPr>
                <w:rFonts w:asciiTheme="minorHAnsi" w:hAnsiTheme="minorHAnsi" w:cstheme="minorHAnsi"/>
                <w:sz w:val="20"/>
                <w:szCs w:val="20"/>
              </w:rPr>
            </w:pPr>
            <w:r w:rsidRPr="00A37617">
              <w:rPr>
                <w:rFonts w:asciiTheme="minorHAnsi" w:hAnsiTheme="minorHAnsi" w:cstheme="minorHAnsi"/>
                <w:sz w:val="20"/>
                <w:szCs w:val="20"/>
              </w:rPr>
              <w:t>Huntingdon Street (Control)</w:t>
            </w:r>
          </w:p>
        </w:tc>
        <w:tc>
          <w:tcPr>
            <w:tcW w:w="921" w:type="dxa"/>
            <w:shd w:val="clear" w:color="auto" w:fill="FFFFFF" w:themeFill="background1"/>
            <w:vAlign w:val="center"/>
          </w:tcPr>
          <w:p w14:paraId="3EF1C658"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78.2%</w:t>
            </w:r>
          </w:p>
        </w:tc>
        <w:tc>
          <w:tcPr>
            <w:tcW w:w="973" w:type="dxa"/>
            <w:shd w:val="clear" w:color="auto" w:fill="FFFFFF" w:themeFill="background1"/>
            <w:vAlign w:val="center"/>
          </w:tcPr>
          <w:p w14:paraId="5C52E18D"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-5.6%</w:t>
            </w:r>
          </w:p>
        </w:tc>
        <w:tc>
          <w:tcPr>
            <w:tcW w:w="1186" w:type="dxa"/>
            <w:shd w:val="clear" w:color="auto" w:fill="FFFFFF" w:themeFill="background1"/>
            <w:vAlign w:val="center"/>
          </w:tcPr>
          <w:p w14:paraId="72A3D847"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+8.5%</w:t>
            </w:r>
          </w:p>
        </w:tc>
        <w:tc>
          <w:tcPr>
            <w:tcW w:w="1228" w:type="dxa"/>
            <w:shd w:val="clear" w:color="auto" w:fill="FFFFFF" w:themeFill="background1"/>
            <w:vAlign w:val="center"/>
          </w:tcPr>
          <w:p w14:paraId="12AD17E1"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-1.0%</w:t>
            </w:r>
          </w:p>
        </w:tc>
        <w:tc>
          <w:tcPr>
            <w:tcW w:w="1254" w:type="dxa"/>
            <w:shd w:val="clear" w:color="auto" w:fill="FFFFFF" w:themeFill="background1"/>
            <w:vAlign w:val="center"/>
          </w:tcPr>
          <w:p w14:paraId="1579BE6D"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-1.9%</w:t>
            </w:r>
          </w:p>
        </w:tc>
        <w:tc>
          <w:tcPr>
            <w:tcW w:w="906" w:type="dxa"/>
            <w:shd w:val="clear" w:color="auto" w:fill="FFFFFF" w:themeFill="background1"/>
            <w:vAlign w:val="center"/>
          </w:tcPr>
          <w:p w14:paraId="7A8B0B19"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+5.5%</w:t>
            </w:r>
          </w:p>
        </w:tc>
        <w:tc>
          <w:tcPr>
            <w:tcW w:w="291" w:type="dxa"/>
            <w:shd w:val="clear" w:color="auto" w:fill="FFFFFF" w:themeFill="background1"/>
            <w:vAlign w:val="center"/>
          </w:tcPr>
          <w:p w14:paraId="4335C46E"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5</w:t>
            </w:r>
          </w:p>
        </w:tc>
      </w:tr>
      <w:tr w:rsidR="00FF37A0" w14:paraId="6C76191B" w14:textId="77777777" w:rsidTr="00A37617">
        <w:trPr>
          <w:trHeight w:val="44"/>
        </w:trPr>
        <w:tc>
          <w:tcPr>
            <w:tcW w:w="1279" w:type="dxa"/>
            <w:shd w:val="clear" w:color="auto" w:fill="323E4F" w:themeFill="text2" w:themeFillShade="BF"/>
          </w:tcPr>
          <w:p w14:paraId="008AA419" w14:textId="77777777" w:rsidR="00FF37A0" w:rsidRPr="00A37617" w:rsidRDefault="00FF37A0" w:rsidP="00050F11">
            <w:pPr>
              <w:rPr>
                <w:rFonts w:asciiTheme="minorHAnsi" w:hAnsiTheme="minorHAnsi" w:cstheme="minorHAnsi"/>
                <w:sz w:val="20"/>
                <w:szCs w:val="20"/>
              </w:rPr>
            </w:pPr>
          </w:p>
        </w:tc>
        <w:tc>
          <w:tcPr>
            <w:tcW w:w="921" w:type="dxa"/>
            <w:shd w:val="clear" w:color="auto" w:fill="323E4F" w:themeFill="text2" w:themeFillShade="BF"/>
            <w:vAlign w:val="center"/>
          </w:tcPr>
          <w:p w14:paraId="61C6158B" w14:textId="77777777" w:rsidR="00FF37A0" w:rsidRPr="00A37617" w:rsidRDefault="00FF37A0" w:rsidP="00A37617">
            <w:pPr>
              <w:jc w:val="center"/>
              <w:rPr>
                <w:rFonts w:asciiTheme="minorHAnsi" w:hAnsiTheme="minorHAnsi" w:cstheme="minorHAnsi"/>
                <w:sz w:val="20"/>
                <w:szCs w:val="20"/>
              </w:rPr>
            </w:pPr>
          </w:p>
        </w:tc>
        <w:tc>
          <w:tcPr>
            <w:tcW w:w="973" w:type="dxa"/>
            <w:shd w:val="clear" w:color="auto" w:fill="323E4F" w:themeFill="text2" w:themeFillShade="BF"/>
            <w:vAlign w:val="center"/>
          </w:tcPr>
          <w:p w14:paraId="07355F42" w14:textId="77777777" w:rsidR="00FF37A0" w:rsidRPr="00A37617" w:rsidRDefault="00FF37A0" w:rsidP="00A37617">
            <w:pPr>
              <w:jc w:val="center"/>
              <w:rPr>
                <w:rFonts w:asciiTheme="minorHAnsi" w:hAnsiTheme="minorHAnsi" w:cstheme="minorHAnsi"/>
                <w:sz w:val="20"/>
                <w:szCs w:val="20"/>
              </w:rPr>
            </w:pPr>
          </w:p>
        </w:tc>
        <w:tc>
          <w:tcPr>
            <w:tcW w:w="1186" w:type="dxa"/>
            <w:shd w:val="clear" w:color="auto" w:fill="323E4F" w:themeFill="text2" w:themeFillShade="BF"/>
            <w:vAlign w:val="center"/>
          </w:tcPr>
          <w:p w14:paraId="25942578" w14:textId="77777777" w:rsidR="00FF37A0" w:rsidRPr="00A37617" w:rsidRDefault="00FF37A0" w:rsidP="00A37617">
            <w:pPr>
              <w:jc w:val="center"/>
              <w:rPr>
                <w:rFonts w:asciiTheme="minorHAnsi" w:hAnsiTheme="minorHAnsi" w:cstheme="minorHAnsi"/>
                <w:sz w:val="20"/>
                <w:szCs w:val="20"/>
              </w:rPr>
            </w:pPr>
          </w:p>
        </w:tc>
        <w:tc>
          <w:tcPr>
            <w:tcW w:w="1228" w:type="dxa"/>
            <w:shd w:val="clear" w:color="auto" w:fill="323E4F" w:themeFill="text2" w:themeFillShade="BF"/>
            <w:vAlign w:val="center"/>
          </w:tcPr>
          <w:p w14:paraId="3F6E32CD" w14:textId="77777777" w:rsidR="00FF37A0" w:rsidRPr="00A37617" w:rsidRDefault="00FF37A0" w:rsidP="00A37617">
            <w:pPr>
              <w:jc w:val="center"/>
              <w:rPr>
                <w:rFonts w:asciiTheme="minorHAnsi" w:hAnsiTheme="minorHAnsi" w:cstheme="minorHAnsi"/>
                <w:sz w:val="20"/>
                <w:szCs w:val="20"/>
              </w:rPr>
            </w:pPr>
          </w:p>
        </w:tc>
        <w:tc>
          <w:tcPr>
            <w:tcW w:w="1254" w:type="dxa"/>
            <w:shd w:val="clear" w:color="auto" w:fill="323E4F" w:themeFill="text2" w:themeFillShade="BF"/>
            <w:vAlign w:val="center"/>
          </w:tcPr>
          <w:p w14:paraId="019FC3E2" w14:textId="77777777" w:rsidR="00FF37A0" w:rsidRPr="00A37617" w:rsidRDefault="00FF37A0" w:rsidP="00A37617">
            <w:pPr>
              <w:jc w:val="center"/>
              <w:rPr>
                <w:rFonts w:asciiTheme="minorHAnsi" w:hAnsiTheme="minorHAnsi" w:cstheme="minorHAnsi"/>
                <w:sz w:val="20"/>
                <w:szCs w:val="20"/>
              </w:rPr>
            </w:pPr>
          </w:p>
        </w:tc>
        <w:tc>
          <w:tcPr>
            <w:tcW w:w="906" w:type="dxa"/>
            <w:shd w:val="clear" w:color="auto" w:fill="323E4F" w:themeFill="text2" w:themeFillShade="BF"/>
            <w:vAlign w:val="center"/>
          </w:tcPr>
          <w:p w14:paraId="692A6DAC" w14:textId="77777777" w:rsidR="00FF37A0" w:rsidRPr="00A37617" w:rsidRDefault="00FF37A0" w:rsidP="00A37617">
            <w:pPr>
              <w:jc w:val="center"/>
              <w:rPr>
                <w:rFonts w:asciiTheme="minorHAnsi" w:hAnsiTheme="minorHAnsi" w:cstheme="minorHAnsi"/>
                <w:sz w:val="20"/>
                <w:szCs w:val="20"/>
              </w:rPr>
            </w:pPr>
          </w:p>
        </w:tc>
        <w:tc>
          <w:tcPr>
            <w:tcW w:w="291" w:type="dxa"/>
            <w:shd w:val="clear" w:color="auto" w:fill="FFFFFF" w:themeFill="background1"/>
            <w:vAlign w:val="center"/>
          </w:tcPr>
          <w:p w14:paraId="1BBE3EA6" w14:textId="77777777" w:rsidR="00FF37A0" w:rsidRPr="00A37617" w:rsidRDefault="00FF37A0" w:rsidP="00A37617">
            <w:pPr>
              <w:jc w:val="center"/>
              <w:rPr>
                <w:rFonts w:asciiTheme="minorHAnsi" w:hAnsiTheme="minorHAnsi" w:cstheme="minorHAnsi"/>
                <w:sz w:val="20"/>
                <w:szCs w:val="20"/>
              </w:rPr>
            </w:pPr>
          </w:p>
        </w:tc>
      </w:tr>
      <w:tr w:rsidR="00FF37A0" w14:paraId="450527FA" w14:textId="77777777" w:rsidTr="00A37617">
        <w:trPr>
          <w:trHeight w:val="44"/>
        </w:trPr>
        <w:tc>
          <w:tcPr>
            <w:tcW w:w="1279" w:type="dxa"/>
            <w:shd w:val="clear" w:color="auto" w:fill="auto"/>
          </w:tcPr>
          <w:p w14:paraId="09AE007F" w14:textId="77777777" w:rsidR="00FF37A0" w:rsidRPr="00A37617" w:rsidRDefault="00FF37A0" w:rsidP="00050F11">
            <w:pPr>
              <w:rPr>
                <w:rFonts w:asciiTheme="minorHAnsi" w:hAnsiTheme="minorHAnsi" w:cstheme="minorHAnsi"/>
                <w:sz w:val="20"/>
                <w:szCs w:val="20"/>
              </w:rPr>
            </w:pPr>
            <w:r w:rsidRPr="00A37617">
              <w:rPr>
                <w:rFonts w:asciiTheme="minorHAnsi" w:hAnsiTheme="minorHAnsi" w:cstheme="minorHAnsi"/>
                <w:sz w:val="20"/>
                <w:szCs w:val="20"/>
              </w:rPr>
              <w:t>Beaconsfield Street (N.E.T)</w:t>
            </w:r>
          </w:p>
        </w:tc>
        <w:tc>
          <w:tcPr>
            <w:tcW w:w="921" w:type="dxa"/>
            <w:shd w:val="clear" w:color="auto" w:fill="FFFFFF" w:themeFill="background1"/>
            <w:vAlign w:val="center"/>
          </w:tcPr>
          <w:p w14:paraId="7355B9F6"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95.2%</w:t>
            </w:r>
          </w:p>
        </w:tc>
        <w:tc>
          <w:tcPr>
            <w:tcW w:w="973" w:type="dxa"/>
            <w:shd w:val="clear" w:color="auto" w:fill="FFFFFF" w:themeFill="background1"/>
            <w:vAlign w:val="center"/>
          </w:tcPr>
          <w:p w14:paraId="3ACC0A8E"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-70%</w:t>
            </w:r>
          </w:p>
        </w:tc>
        <w:tc>
          <w:tcPr>
            <w:tcW w:w="1186" w:type="dxa"/>
            <w:shd w:val="clear" w:color="auto" w:fill="FFFFFF" w:themeFill="background1"/>
            <w:vAlign w:val="center"/>
          </w:tcPr>
          <w:p w14:paraId="40BDAA8D"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-0.3%</w:t>
            </w:r>
          </w:p>
        </w:tc>
        <w:tc>
          <w:tcPr>
            <w:tcW w:w="1228" w:type="dxa"/>
            <w:shd w:val="clear" w:color="auto" w:fill="FFFFFF" w:themeFill="background1"/>
            <w:vAlign w:val="center"/>
          </w:tcPr>
          <w:p w14:paraId="4744A935"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+0.1%</w:t>
            </w:r>
          </w:p>
        </w:tc>
        <w:tc>
          <w:tcPr>
            <w:tcW w:w="1254" w:type="dxa"/>
            <w:shd w:val="clear" w:color="auto" w:fill="FFFFFF" w:themeFill="background1"/>
            <w:vAlign w:val="center"/>
          </w:tcPr>
          <w:p w14:paraId="301C22C2"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-1.3%</w:t>
            </w:r>
          </w:p>
        </w:tc>
        <w:tc>
          <w:tcPr>
            <w:tcW w:w="906" w:type="dxa"/>
            <w:tcBorders>
              <w:bottom w:val="single" w:sz="4" w:space="0" w:color="auto"/>
            </w:tcBorders>
            <w:shd w:val="clear" w:color="auto" w:fill="FFFFFF" w:themeFill="background1"/>
            <w:vAlign w:val="center"/>
          </w:tcPr>
          <w:p w14:paraId="426E3169"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-2.2%</w:t>
            </w:r>
          </w:p>
        </w:tc>
        <w:tc>
          <w:tcPr>
            <w:tcW w:w="291" w:type="dxa"/>
            <w:tcBorders>
              <w:bottom w:val="single" w:sz="4" w:space="0" w:color="auto"/>
            </w:tcBorders>
            <w:shd w:val="clear" w:color="auto" w:fill="FFFFFF" w:themeFill="background1"/>
            <w:vAlign w:val="center"/>
          </w:tcPr>
          <w:p w14:paraId="186A672F"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0</w:t>
            </w:r>
          </w:p>
        </w:tc>
      </w:tr>
      <w:tr w:rsidR="00FF37A0" w14:paraId="59197069" w14:textId="77777777" w:rsidTr="00A37617">
        <w:trPr>
          <w:trHeight w:val="44"/>
        </w:trPr>
        <w:tc>
          <w:tcPr>
            <w:tcW w:w="1279" w:type="dxa"/>
            <w:shd w:val="clear" w:color="auto" w:fill="auto"/>
          </w:tcPr>
          <w:p w14:paraId="71DB7A9C" w14:textId="77777777" w:rsidR="00FF37A0" w:rsidRPr="00A37617" w:rsidRDefault="00FF37A0" w:rsidP="00050F11">
            <w:pPr>
              <w:rPr>
                <w:rFonts w:asciiTheme="minorHAnsi" w:hAnsiTheme="minorHAnsi" w:cstheme="minorHAnsi"/>
                <w:sz w:val="20"/>
                <w:szCs w:val="20"/>
              </w:rPr>
            </w:pPr>
            <w:r w:rsidRPr="00A37617">
              <w:rPr>
                <w:rFonts w:asciiTheme="minorHAnsi" w:hAnsiTheme="minorHAnsi" w:cstheme="minorHAnsi"/>
                <w:sz w:val="20"/>
                <w:szCs w:val="20"/>
              </w:rPr>
              <w:t>Bernard Street (Control)</w:t>
            </w:r>
          </w:p>
        </w:tc>
        <w:tc>
          <w:tcPr>
            <w:tcW w:w="921" w:type="dxa"/>
            <w:shd w:val="clear" w:color="auto" w:fill="FFFFFF" w:themeFill="background1"/>
            <w:vAlign w:val="center"/>
          </w:tcPr>
          <w:p w14:paraId="0BFB95E1"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107.8%</w:t>
            </w:r>
          </w:p>
        </w:tc>
        <w:tc>
          <w:tcPr>
            <w:tcW w:w="973" w:type="dxa"/>
            <w:shd w:val="clear" w:color="auto" w:fill="FFFFFF" w:themeFill="background1"/>
            <w:vAlign w:val="center"/>
          </w:tcPr>
          <w:p w14:paraId="4DB19F18"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-39%</w:t>
            </w:r>
          </w:p>
        </w:tc>
        <w:tc>
          <w:tcPr>
            <w:tcW w:w="1186" w:type="dxa"/>
            <w:shd w:val="clear" w:color="auto" w:fill="FFFFFF" w:themeFill="background1"/>
            <w:vAlign w:val="center"/>
          </w:tcPr>
          <w:p w14:paraId="32314B10"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w:t>
            </w:r>
          </w:p>
        </w:tc>
        <w:tc>
          <w:tcPr>
            <w:tcW w:w="1228" w:type="dxa"/>
            <w:shd w:val="clear" w:color="auto" w:fill="FFFFFF" w:themeFill="background1"/>
            <w:vAlign w:val="center"/>
          </w:tcPr>
          <w:p w14:paraId="28197B82"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+2.4%</w:t>
            </w:r>
          </w:p>
        </w:tc>
        <w:tc>
          <w:tcPr>
            <w:tcW w:w="1254" w:type="dxa"/>
            <w:shd w:val="clear" w:color="auto" w:fill="FFFFFF" w:themeFill="background1"/>
            <w:vAlign w:val="center"/>
          </w:tcPr>
          <w:p w14:paraId="74A3E3C5"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+2.6%</w:t>
            </w:r>
          </w:p>
        </w:tc>
        <w:tc>
          <w:tcPr>
            <w:tcW w:w="906" w:type="dxa"/>
            <w:tcBorders>
              <w:bottom w:val="single" w:sz="4" w:space="0" w:color="auto"/>
            </w:tcBorders>
            <w:shd w:val="clear" w:color="auto" w:fill="FFFFFF" w:themeFill="background1"/>
            <w:vAlign w:val="center"/>
          </w:tcPr>
          <w:p w14:paraId="4E65E996"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+1%</w:t>
            </w:r>
          </w:p>
        </w:tc>
        <w:tc>
          <w:tcPr>
            <w:tcW w:w="291" w:type="dxa"/>
            <w:tcBorders>
              <w:bottom w:val="single" w:sz="4" w:space="0" w:color="auto"/>
            </w:tcBorders>
            <w:shd w:val="clear" w:color="auto" w:fill="FFFFFF" w:themeFill="background1"/>
            <w:vAlign w:val="center"/>
          </w:tcPr>
          <w:p w14:paraId="36BF046C"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6</w:t>
            </w:r>
          </w:p>
        </w:tc>
      </w:tr>
      <w:tr w:rsidR="00FF37A0" w14:paraId="5730F584" w14:textId="77777777" w:rsidTr="00A37617">
        <w:trPr>
          <w:trHeight w:val="44"/>
        </w:trPr>
        <w:tc>
          <w:tcPr>
            <w:tcW w:w="1279" w:type="dxa"/>
            <w:shd w:val="clear" w:color="auto" w:fill="323E4F" w:themeFill="text2" w:themeFillShade="BF"/>
          </w:tcPr>
          <w:p w14:paraId="3FFA496E" w14:textId="77777777" w:rsidR="00FF37A0" w:rsidRPr="00A37617" w:rsidRDefault="00FF37A0" w:rsidP="00050F11">
            <w:pPr>
              <w:rPr>
                <w:rFonts w:asciiTheme="minorHAnsi" w:hAnsiTheme="minorHAnsi" w:cstheme="minorHAnsi"/>
                <w:sz w:val="20"/>
                <w:szCs w:val="20"/>
              </w:rPr>
            </w:pPr>
          </w:p>
        </w:tc>
        <w:tc>
          <w:tcPr>
            <w:tcW w:w="921" w:type="dxa"/>
            <w:shd w:val="clear" w:color="auto" w:fill="323E4F" w:themeFill="text2" w:themeFillShade="BF"/>
            <w:vAlign w:val="center"/>
          </w:tcPr>
          <w:p w14:paraId="7FDFE044" w14:textId="77777777" w:rsidR="00FF37A0" w:rsidRPr="00A37617" w:rsidRDefault="00FF37A0" w:rsidP="00A37617">
            <w:pPr>
              <w:jc w:val="center"/>
              <w:rPr>
                <w:rFonts w:asciiTheme="minorHAnsi" w:hAnsiTheme="minorHAnsi" w:cstheme="minorHAnsi"/>
                <w:sz w:val="20"/>
                <w:szCs w:val="20"/>
              </w:rPr>
            </w:pPr>
          </w:p>
        </w:tc>
        <w:tc>
          <w:tcPr>
            <w:tcW w:w="973" w:type="dxa"/>
            <w:shd w:val="clear" w:color="auto" w:fill="323E4F" w:themeFill="text2" w:themeFillShade="BF"/>
            <w:vAlign w:val="center"/>
          </w:tcPr>
          <w:p w14:paraId="4AAB92B4" w14:textId="77777777" w:rsidR="00FF37A0" w:rsidRPr="00A37617" w:rsidRDefault="00FF37A0" w:rsidP="00A37617">
            <w:pPr>
              <w:jc w:val="center"/>
              <w:rPr>
                <w:rFonts w:asciiTheme="minorHAnsi" w:hAnsiTheme="minorHAnsi" w:cstheme="minorHAnsi"/>
                <w:sz w:val="20"/>
                <w:szCs w:val="20"/>
              </w:rPr>
            </w:pPr>
          </w:p>
        </w:tc>
        <w:tc>
          <w:tcPr>
            <w:tcW w:w="1186" w:type="dxa"/>
            <w:shd w:val="clear" w:color="auto" w:fill="323E4F" w:themeFill="text2" w:themeFillShade="BF"/>
            <w:vAlign w:val="center"/>
          </w:tcPr>
          <w:p w14:paraId="3327E2ED" w14:textId="77777777" w:rsidR="00FF37A0" w:rsidRPr="00A37617" w:rsidRDefault="00FF37A0" w:rsidP="00A37617">
            <w:pPr>
              <w:jc w:val="center"/>
              <w:rPr>
                <w:rFonts w:asciiTheme="minorHAnsi" w:hAnsiTheme="minorHAnsi" w:cstheme="minorHAnsi"/>
                <w:sz w:val="20"/>
                <w:szCs w:val="20"/>
              </w:rPr>
            </w:pPr>
          </w:p>
        </w:tc>
        <w:tc>
          <w:tcPr>
            <w:tcW w:w="1228" w:type="dxa"/>
            <w:shd w:val="clear" w:color="auto" w:fill="323E4F" w:themeFill="text2" w:themeFillShade="BF"/>
            <w:vAlign w:val="center"/>
          </w:tcPr>
          <w:p w14:paraId="1C396847" w14:textId="77777777" w:rsidR="00FF37A0" w:rsidRPr="00A37617" w:rsidRDefault="00FF37A0" w:rsidP="00A37617">
            <w:pPr>
              <w:jc w:val="center"/>
              <w:rPr>
                <w:rFonts w:asciiTheme="minorHAnsi" w:hAnsiTheme="minorHAnsi" w:cstheme="minorHAnsi"/>
                <w:sz w:val="20"/>
                <w:szCs w:val="20"/>
              </w:rPr>
            </w:pPr>
          </w:p>
        </w:tc>
        <w:tc>
          <w:tcPr>
            <w:tcW w:w="1254" w:type="dxa"/>
            <w:shd w:val="clear" w:color="auto" w:fill="323E4F" w:themeFill="text2" w:themeFillShade="BF"/>
            <w:vAlign w:val="center"/>
          </w:tcPr>
          <w:p w14:paraId="61623EE3" w14:textId="77777777" w:rsidR="00FF37A0" w:rsidRPr="00A37617" w:rsidRDefault="00FF37A0" w:rsidP="00A37617">
            <w:pPr>
              <w:jc w:val="center"/>
              <w:rPr>
                <w:rFonts w:asciiTheme="minorHAnsi" w:hAnsiTheme="minorHAnsi" w:cstheme="minorHAnsi"/>
                <w:sz w:val="20"/>
                <w:szCs w:val="20"/>
              </w:rPr>
            </w:pPr>
          </w:p>
        </w:tc>
        <w:tc>
          <w:tcPr>
            <w:tcW w:w="906" w:type="dxa"/>
            <w:tcBorders>
              <w:top w:val="single" w:sz="4" w:space="0" w:color="auto"/>
            </w:tcBorders>
            <w:shd w:val="clear" w:color="auto" w:fill="323E4F" w:themeFill="text2" w:themeFillShade="BF"/>
            <w:vAlign w:val="center"/>
          </w:tcPr>
          <w:p w14:paraId="1113752A" w14:textId="77777777" w:rsidR="00FF37A0" w:rsidRPr="00A37617" w:rsidRDefault="00FF37A0" w:rsidP="00A37617">
            <w:pPr>
              <w:jc w:val="center"/>
              <w:rPr>
                <w:rFonts w:asciiTheme="minorHAnsi" w:hAnsiTheme="minorHAnsi" w:cstheme="minorHAnsi"/>
                <w:sz w:val="20"/>
                <w:szCs w:val="20"/>
              </w:rPr>
            </w:pPr>
          </w:p>
        </w:tc>
        <w:tc>
          <w:tcPr>
            <w:tcW w:w="291" w:type="dxa"/>
            <w:tcBorders>
              <w:top w:val="single" w:sz="4" w:space="0" w:color="auto"/>
            </w:tcBorders>
            <w:shd w:val="clear" w:color="auto" w:fill="FFFFFF" w:themeFill="background1"/>
            <w:vAlign w:val="center"/>
          </w:tcPr>
          <w:p w14:paraId="328298E9" w14:textId="77777777" w:rsidR="00FF37A0" w:rsidRPr="00A37617" w:rsidRDefault="00FF37A0" w:rsidP="00A37617">
            <w:pPr>
              <w:jc w:val="center"/>
              <w:rPr>
                <w:rFonts w:asciiTheme="minorHAnsi" w:hAnsiTheme="minorHAnsi" w:cstheme="minorHAnsi"/>
                <w:sz w:val="20"/>
                <w:szCs w:val="20"/>
              </w:rPr>
            </w:pPr>
          </w:p>
        </w:tc>
      </w:tr>
      <w:tr w:rsidR="00FF37A0" w14:paraId="226DF529" w14:textId="77777777" w:rsidTr="00A37617">
        <w:trPr>
          <w:trHeight w:val="44"/>
        </w:trPr>
        <w:tc>
          <w:tcPr>
            <w:tcW w:w="1279" w:type="dxa"/>
            <w:shd w:val="clear" w:color="auto" w:fill="auto"/>
          </w:tcPr>
          <w:p w14:paraId="0C479EC0" w14:textId="77777777" w:rsidR="00FF37A0" w:rsidRPr="00A37617" w:rsidRDefault="00FF37A0" w:rsidP="00050F11">
            <w:pPr>
              <w:rPr>
                <w:rFonts w:asciiTheme="minorHAnsi" w:hAnsiTheme="minorHAnsi" w:cstheme="minorHAnsi"/>
                <w:sz w:val="20"/>
                <w:szCs w:val="20"/>
              </w:rPr>
            </w:pPr>
            <w:r w:rsidRPr="00A37617">
              <w:rPr>
                <w:rFonts w:asciiTheme="minorHAnsi" w:hAnsiTheme="minorHAnsi" w:cstheme="minorHAnsi"/>
                <w:sz w:val="20"/>
                <w:szCs w:val="20"/>
              </w:rPr>
              <w:t>Basford (N.E.T)</w:t>
            </w:r>
          </w:p>
        </w:tc>
        <w:tc>
          <w:tcPr>
            <w:tcW w:w="921" w:type="dxa"/>
            <w:shd w:val="clear" w:color="auto" w:fill="FFFFFF" w:themeFill="background1"/>
            <w:vAlign w:val="center"/>
          </w:tcPr>
          <w:p w14:paraId="32A1DE67"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92%</w:t>
            </w:r>
          </w:p>
        </w:tc>
        <w:tc>
          <w:tcPr>
            <w:tcW w:w="973" w:type="dxa"/>
            <w:shd w:val="clear" w:color="auto" w:fill="FFFFFF" w:themeFill="background1"/>
            <w:vAlign w:val="center"/>
          </w:tcPr>
          <w:p w14:paraId="06DDE72B"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-60%</w:t>
            </w:r>
          </w:p>
        </w:tc>
        <w:tc>
          <w:tcPr>
            <w:tcW w:w="1186" w:type="dxa"/>
            <w:shd w:val="clear" w:color="auto" w:fill="FFFFFF" w:themeFill="background1"/>
            <w:vAlign w:val="center"/>
          </w:tcPr>
          <w:p w14:paraId="09FA169F"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+4.4%</w:t>
            </w:r>
          </w:p>
        </w:tc>
        <w:tc>
          <w:tcPr>
            <w:tcW w:w="1228" w:type="dxa"/>
            <w:shd w:val="clear" w:color="auto" w:fill="FFFFFF" w:themeFill="background1"/>
            <w:vAlign w:val="center"/>
          </w:tcPr>
          <w:p w14:paraId="5A427580"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+2.3%</w:t>
            </w:r>
          </w:p>
        </w:tc>
        <w:tc>
          <w:tcPr>
            <w:tcW w:w="1254" w:type="dxa"/>
            <w:shd w:val="clear" w:color="auto" w:fill="FFFFFF" w:themeFill="background1"/>
            <w:vAlign w:val="center"/>
          </w:tcPr>
          <w:p w14:paraId="42A2A1FE"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-0.1%</w:t>
            </w:r>
          </w:p>
        </w:tc>
        <w:tc>
          <w:tcPr>
            <w:tcW w:w="906" w:type="dxa"/>
            <w:shd w:val="clear" w:color="auto" w:fill="FFFFFF" w:themeFill="background1"/>
            <w:vAlign w:val="center"/>
          </w:tcPr>
          <w:p w14:paraId="742D55BA"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-2.4%</w:t>
            </w:r>
          </w:p>
        </w:tc>
        <w:tc>
          <w:tcPr>
            <w:tcW w:w="291" w:type="dxa"/>
            <w:shd w:val="clear" w:color="auto" w:fill="FFFFFF" w:themeFill="background1"/>
            <w:vAlign w:val="center"/>
          </w:tcPr>
          <w:p w14:paraId="0A3EB337"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3</w:t>
            </w:r>
          </w:p>
        </w:tc>
      </w:tr>
      <w:tr w:rsidR="00FF37A0" w14:paraId="2C6AB90B" w14:textId="77777777" w:rsidTr="00A37617">
        <w:trPr>
          <w:trHeight w:val="44"/>
        </w:trPr>
        <w:tc>
          <w:tcPr>
            <w:tcW w:w="1279" w:type="dxa"/>
            <w:shd w:val="clear" w:color="auto" w:fill="auto"/>
          </w:tcPr>
          <w:p w14:paraId="6F62F7DD" w14:textId="77777777" w:rsidR="00FF37A0" w:rsidRPr="00A37617" w:rsidRDefault="00FF37A0" w:rsidP="00050F11">
            <w:pPr>
              <w:rPr>
                <w:rFonts w:asciiTheme="minorHAnsi" w:hAnsiTheme="minorHAnsi" w:cstheme="minorHAnsi"/>
                <w:sz w:val="20"/>
                <w:szCs w:val="20"/>
              </w:rPr>
            </w:pPr>
            <w:r w:rsidRPr="00A37617">
              <w:rPr>
                <w:rFonts w:asciiTheme="minorHAnsi" w:hAnsiTheme="minorHAnsi" w:cstheme="minorHAnsi"/>
                <w:sz w:val="20"/>
                <w:szCs w:val="20"/>
              </w:rPr>
              <w:t>Ring Road (Control)</w:t>
            </w:r>
          </w:p>
        </w:tc>
        <w:tc>
          <w:tcPr>
            <w:tcW w:w="921" w:type="dxa"/>
            <w:shd w:val="clear" w:color="auto" w:fill="FFFFFF" w:themeFill="background1"/>
            <w:vAlign w:val="center"/>
          </w:tcPr>
          <w:p w14:paraId="42CBCE8C"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70%</w:t>
            </w:r>
          </w:p>
        </w:tc>
        <w:tc>
          <w:tcPr>
            <w:tcW w:w="973" w:type="dxa"/>
            <w:shd w:val="clear" w:color="auto" w:fill="FFFFFF" w:themeFill="background1"/>
            <w:vAlign w:val="center"/>
          </w:tcPr>
          <w:p w14:paraId="1FBFB50A"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-42%</w:t>
            </w:r>
          </w:p>
        </w:tc>
        <w:tc>
          <w:tcPr>
            <w:tcW w:w="1186" w:type="dxa"/>
            <w:shd w:val="clear" w:color="auto" w:fill="FFFFFF" w:themeFill="background1"/>
            <w:vAlign w:val="center"/>
          </w:tcPr>
          <w:p w14:paraId="189114DB"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+1.8%</w:t>
            </w:r>
          </w:p>
        </w:tc>
        <w:tc>
          <w:tcPr>
            <w:tcW w:w="1228" w:type="dxa"/>
            <w:shd w:val="clear" w:color="auto" w:fill="FFFFFF" w:themeFill="background1"/>
            <w:vAlign w:val="center"/>
          </w:tcPr>
          <w:p w14:paraId="10D9CF55"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+1.4%</w:t>
            </w:r>
          </w:p>
        </w:tc>
        <w:tc>
          <w:tcPr>
            <w:tcW w:w="1254" w:type="dxa"/>
            <w:shd w:val="clear" w:color="auto" w:fill="FFFFFF" w:themeFill="background1"/>
            <w:vAlign w:val="center"/>
          </w:tcPr>
          <w:p w14:paraId="0EF3A515"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0.5%</w:t>
            </w:r>
          </w:p>
        </w:tc>
        <w:tc>
          <w:tcPr>
            <w:tcW w:w="906" w:type="dxa"/>
            <w:shd w:val="clear" w:color="auto" w:fill="FFFFFF" w:themeFill="background1"/>
            <w:vAlign w:val="center"/>
          </w:tcPr>
          <w:p w14:paraId="3410C8C2"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+5%</w:t>
            </w:r>
          </w:p>
        </w:tc>
        <w:tc>
          <w:tcPr>
            <w:tcW w:w="291" w:type="dxa"/>
            <w:shd w:val="clear" w:color="auto" w:fill="FFFFFF" w:themeFill="background1"/>
            <w:vAlign w:val="center"/>
          </w:tcPr>
          <w:p w14:paraId="02F281D0"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3</w:t>
            </w:r>
          </w:p>
        </w:tc>
      </w:tr>
      <w:tr w:rsidR="00FF37A0" w14:paraId="6559CB34" w14:textId="77777777" w:rsidTr="00A37617">
        <w:trPr>
          <w:trHeight w:val="71"/>
        </w:trPr>
        <w:tc>
          <w:tcPr>
            <w:tcW w:w="1279" w:type="dxa"/>
            <w:shd w:val="clear" w:color="auto" w:fill="323E4F" w:themeFill="text2" w:themeFillShade="BF"/>
          </w:tcPr>
          <w:p w14:paraId="1549A27C" w14:textId="77777777" w:rsidR="00FF37A0" w:rsidRPr="00A37617" w:rsidRDefault="00FF37A0" w:rsidP="00050F11">
            <w:pPr>
              <w:rPr>
                <w:rFonts w:asciiTheme="minorHAnsi" w:hAnsiTheme="minorHAnsi" w:cstheme="minorHAnsi"/>
                <w:sz w:val="20"/>
                <w:szCs w:val="20"/>
              </w:rPr>
            </w:pPr>
          </w:p>
        </w:tc>
        <w:tc>
          <w:tcPr>
            <w:tcW w:w="921" w:type="dxa"/>
            <w:shd w:val="clear" w:color="auto" w:fill="323E4F" w:themeFill="text2" w:themeFillShade="BF"/>
            <w:vAlign w:val="center"/>
          </w:tcPr>
          <w:p w14:paraId="44EB1E1A" w14:textId="77777777" w:rsidR="00FF37A0" w:rsidRPr="00A37617" w:rsidRDefault="00FF37A0" w:rsidP="00A37617">
            <w:pPr>
              <w:jc w:val="center"/>
              <w:rPr>
                <w:rFonts w:asciiTheme="minorHAnsi" w:hAnsiTheme="minorHAnsi" w:cstheme="minorHAnsi"/>
                <w:sz w:val="20"/>
                <w:szCs w:val="20"/>
              </w:rPr>
            </w:pPr>
          </w:p>
        </w:tc>
        <w:tc>
          <w:tcPr>
            <w:tcW w:w="973" w:type="dxa"/>
            <w:shd w:val="clear" w:color="auto" w:fill="323E4F" w:themeFill="text2" w:themeFillShade="BF"/>
            <w:vAlign w:val="center"/>
          </w:tcPr>
          <w:p w14:paraId="0AEEA7FC" w14:textId="77777777" w:rsidR="00FF37A0" w:rsidRPr="00A37617" w:rsidRDefault="00FF37A0" w:rsidP="00A37617">
            <w:pPr>
              <w:jc w:val="center"/>
              <w:rPr>
                <w:rFonts w:asciiTheme="minorHAnsi" w:hAnsiTheme="minorHAnsi" w:cstheme="minorHAnsi"/>
                <w:sz w:val="20"/>
                <w:szCs w:val="20"/>
              </w:rPr>
            </w:pPr>
          </w:p>
        </w:tc>
        <w:tc>
          <w:tcPr>
            <w:tcW w:w="1186" w:type="dxa"/>
            <w:shd w:val="clear" w:color="auto" w:fill="323E4F" w:themeFill="text2" w:themeFillShade="BF"/>
            <w:vAlign w:val="center"/>
          </w:tcPr>
          <w:p w14:paraId="00AF2E8A" w14:textId="77777777" w:rsidR="00FF37A0" w:rsidRPr="00A37617" w:rsidRDefault="00FF37A0" w:rsidP="00A37617">
            <w:pPr>
              <w:jc w:val="center"/>
              <w:rPr>
                <w:rFonts w:asciiTheme="minorHAnsi" w:hAnsiTheme="minorHAnsi" w:cstheme="minorHAnsi"/>
                <w:sz w:val="20"/>
                <w:szCs w:val="20"/>
              </w:rPr>
            </w:pPr>
          </w:p>
        </w:tc>
        <w:tc>
          <w:tcPr>
            <w:tcW w:w="1228" w:type="dxa"/>
            <w:shd w:val="clear" w:color="auto" w:fill="323E4F" w:themeFill="text2" w:themeFillShade="BF"/>
            <w:vAlign w:val="center"/>
          </w:tcPr>
          <w:p w14:paraId="5B991C41" w14:textId="77777777" w:rsidR="00FF37A0" w:rsidRPr="00A37617" w:rsidRDefault="00FF37A0" w:rsidP="00A37617">
            <w:pPr>
              <w:jc w:val="center"/>
              <w:rPr>
                <w:rFonts w:asciiTheme="minorHAnsi" w:hAnsiTheme="minorHAnsi" w:cstheme="minorHAnsi"/>
                <w:sz w:val="20"/>
                <w:szCs w:val="20"/>
              </w:rPr>
            </w:pPr>
          </w:p>
        </w:tc>
        <w:tc>
          <w:tcPr>
            <w:tcW w:w="1254" w:type="dxa"/>
            <w:shd w:val="clear" w:color="auto" w:fill="323E4F" w:themeFill="text2" w:themeFillShade="BF"/>
            <w:vAlign w:val="center"/>
          </w:tcPr>
          <w:p w14:paraId="1BDDC554" w14:textId="77777777" w:rsidR="00FF37A0" w:rsidRPr="00A37617" w:rsidRDefault="00FF37A0" w:rsidP="00A37617">
            <w:pPr>
              <w:jc w:val="center"/>
              <w:rPr>
                <w:rFonts w:asciiTheme="minorHAnsi" w:hAnsiTheme="minorHAnsi" w:cstheme="minorHAnsi"/>
                <w:sz w:val="20"/>
                <w:szCs w:val="20"/>
              </w:rPr>
            </w:pPr>
          </w:p>
        </w:tc>
        <w:tc>
          <w:tcPr>
            <w:tcW w:w="906" w:type="dxa"/>
            <w:shd w:val="clear" w:color="auto" w:fill="323E4F" w:themeFill="text2" w:themeFillShade="BF"/>
            <w:vAlign w:val="center"/>
          </w:tcPr>
          <w:p w14:paraId="25E7F30C" w14:textId="77777777" w:rsidR="00FF37A0" w:rsidRPr="00A37617" w:rsidRDefault="00FF37A0" w:rsidP="00A37617">
            <w:pPr>
              <w:jc w:val="center"/>
              <w:rPr>
                <w:rFonts w:asciiTheme="minorHAnsi" w:hAnsiTheme="minorHAnsi" w:cstheme="minorHAnsi"/>
                <w:sz w:val="20"/>
                <w:szCs w:val="20"/>
              </w:rPr>
            </w:pPr>
          </w:p>
        </w:tc>
        <w:tc>
          <w:tcPr>
            <w:tcW w:w="291" w:type="dxa"/>
            <w:shd w:val="clear" w:color="auto" w:fill="FFFFFF" w:themeFill="background1"/>
            <w:vAlign w:val="center"/>
          </w:tcPr>
          <w:p w14:paraId="4E63CA6E" w14:textId="77777777" w:rsidR="00FF37A0" w:rsidRPr="00A37617" w:rsidRDefault="00FF37A0" w:rsidP="00A37617">
            <w:pPr>
              <w:jc w:val="center"/>
              <w:rPr>
                <w:rFonts w:asciiTheme="minorHAnsi" w:hAnsiTheme="minorHAnsi" w:cstheme="minorHAnsi"/>
                <w:sz w:val="20"/>
                <w:szCs w:val="20"/>
              </w:rPr>
            </w:pPr>
          </w:p>
        </w:tc>
      </w:tr>
      <w:tr w:rsidR="00FF37A0" w14:paraId="1BFDAAE8" w14:textId="77777777" w:rsidTr="00A37617">
        <w:trPr>
          <w:trHeight w:val="44"/>
        </w:trPr>
        <w:tc>
          <w:tcPr>
            <w:tcW w:w="12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D583A6" w14:textId="77777777" w:rsidR="00FF37A0" w:rsidRPr="00A37617" w:rsidRDefault="00FF37A0" w:rsidP="00050F11">
            <w:pPr>
              <w:rPr>
                <w:rFonts w:asciiTheme="minorHAnsi" w:hAnsiTheme="minorHAnsi" w:cstheme="minorHAnsi"/>
                <w:sz w:val="20"/>
                <w:szCs w:val="20"/>
              </w:rPr>
            </w:pPr>
            <w:r w:rsidRPr="00A37617">
              <w:rPr>
                <w:rFonts w:asciiTheme="minorHAnsi" w:hAnsiTheme="minorHAnsi" w:cstheme="minorHAnsi"/>
                <w:sz w:val="20"/>
                <w:szCs w:val="20"/>
              </w:rPr>
              <w:t>Cinderhill (N.E.T)</w:t>
            </w:r>
          </w:p>
        </w:tc>
        <w:tc>
          <w:tcPr>
            <w:tcW w:w="9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285783"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66%</w:t>
            </w:r>
          </w:p>
        </w:tc>
        <w:tc>
          <w:tcPr>
            <w:tcW w:w="9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21F1F"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60BCA2"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+5.7%</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315A8F"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+2.6%</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6BF345"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+2.7%</w:t>
            </w:r>
          </w:p>
        </w:tc>
        <w:tc>
          <w:tcPr>
            <w:tcW w:w="906" w:type="dxa"/>
            <w:shd w:val="clear" w:color="auto" w:fill="FFFFFF" w:themeFill="background1"/>
            <w:vAlign w:val="center"/>
          </w:tcPr>
          <w:p w14:paraId="0660774F"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+1%</w:t>
            </w:r>
          </w:p>
        </w:tc>
        <w:tc>
          <w:tcPr>
            <w:tcW w:w="291" w:type="dxa"/>
            <w:shd w:val="clear" w:color="auto" w:fill="FFFFFF" w:themeFill="background1"/>
            <w:vAlign w:val="center"/>
          </w:tcPr>
          <w:p w14:paraId="3DCDD1FD"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3</w:t>
            </w:r>
          </w:p>
        </w:tc>
      </w:tr>
      <w:tr w:rsidR="00FF37A0" w14:paraId="739865B3" w14:textId="77777777" w:rsidTr="00A37617">
        <w:trPr>
          <w:trHeight w:val="44"/>
        </w:trPr>
        <w:tc>
          <w:tcPr>
            <w:tcW w:w="1279" w:type="dxa"/>
            <w:shd w:val="clear" w:color="auto" w:fill="auto"/>
          </w:tcPr>
          <w:p w14:paraId="6D925182" w14:textId="77777777" w:rsidR="00FF37A0" w:rsidRPr="00A37617" w:rsidRDefault="00FF37A0" w:rsidP="00050F11">
            <w:pPr>
              <w:rPr>
                <w:rFonts w:asciiTheme="minorHAnsi" w:hAnsiTheme="minorHAnsi" w:cstheme="minorHAnsi"/>
                <w:sz w:val="20"/>
                <w:szCs w:val="20"/>
              </w:rPr>
            </w:pPr>
            <w:r w:rsidRPr="00A37617">
              <w:rPr>
                <w:rFonts w:asciiTheme="minorHAnsi" w:hAnsiTheme="minorHAnsi" w:cstheme="minorHAnsi"/>
                <w:sz w:val="20"/>
                <w:szCs w:val="20"/>
              </w:rPr>
              <w:t>Gala Way (Control)</w:t>
            </w:r>
          </w:p>
        </w:tc>
        <w:tc>
          <w:tcPr>
            <w:tcW w:w="921" w:type="dxa"/>
            <w:shd w:val="clear" w:color="auto" w:fill="FFFFFF" w:themeFill="background1"/>
            <w:vAlign w:val="center"/>
          </w:tcPr>
          <w:p w14:paraId="214DD028"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53%</w:t>
            </w:r>
          </w:p>
        </w:tc>
        <w:tc>
          <w:tcPr>
            <w:tcW w:w="973" w:type="dxa"/>
            <w:shd w:val="clear" w:color="auto" w:fill="FFFFFF" w:themeFill="background1"/>
            <w:vAlign w:val="center"/>
          </w:tcPr>
          <w:p w14:paraId="41373F9C"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-58%</w:t>
            </w:r>
          </w:p>
        </w:tc>
        <w:tc>
          <w:tcPr>
            <w:tcW w:w="1186" w:type="dxa"/>
            <w:shd w:val="clear" w:color="auto" w:fill="FFFFFF" w:themeFill="background1"/>
            <w:vAlign w:val="center"/>
          </w:tcPr>
          <w:p w14:paraId="7F901C89"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+6.7%</w:t>
            </w:r>
          </w:p>
        </w:tc>
        <w:tc>
          <w:tcPr>
            <w:tcW w:w="1228" w:type="dxa"/>
            <w:shd w:val="clear" w:color="auto" w:fill="FFFFFF" w:themeFill="background1"/>
            <w:vAlign w:val="center"/>
          </w:tcPr>
          <w:p w14:paraId="56A39DF1"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+2.7%</w:t>
            </w:r>
          </w:p>
        </w:tc>
        <w:tc>
          <w:tcPr>
            <w:tcW w:w="1254" w:type="dxa"/>
            <w:shd w:val="clear" w:color="auto" w:fill="FFFFFF" w:themeFill="background1"/>
            <w:vAlign w:val="center"/>
          </w:tcPr>
          <w:p w14:paraId="5DEF0F39"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+1.6%</w:t>
            </w:r>
          </w:p>
        </w:tc>
        <w:tc>
          <w:tcPr>
            <w:tcW w:w="906" w:type="dxa"/>
            <w:shd w:val="clear" w:color="auto" w:fill="FFFFFF" w:themeFill="background1"/>
            <w:vAlign w:val="center"/>
          </w:tcPr>
          <w:p w14:paraId="3727F465"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+3%</w:t>
            </w:r>
          </w:p>
        </w:tc>
        <w:tc>
          <w:tcPr>
            <w:tcW w:w="291" w:type="dxa"/>
            <w:shd w:val="clear" w:color="auto" w:fill="FFFFFF" w:themeFill="background1"/>
            <w:vAlign w:val="center"/>
          </w:tcPr>
          <w:p w14:paraId="12D795BE" w14:textId="77777777" w:rsidR="00FF37A0" w:rsidRPr="00A37617" w:rsidRDefault="00FF37A0" w:rsidP="00A37617">
            <w:pPr>
              <w:jc w:val="center"/>
              <w:rPr>
                <w:rFonts w:asciiTheme="minorHAnsi" w:hAnsiTheme="minorHAnsi" w:cstheme="minorHAnsi"/>
                <w:sz w:val="20"/>
                <w:szCs w:val="20"/>
              </w:rPr>
            </w:pPr>
            <w:r w:rsidRPr="00A37617">
              <w:rPr>
                <w:rFonts w:asciiTheme="minorHAnsi" w:hAnsiTheme="minorHAnsi" w:cstheme="minorHAnsi"/>
                <w:sz w:val="20"/>
                <w:szCs w:val="20"/>
              </w:rPr>
              <w:t>3</w:t>
            </w:r>
          </w:p>
        </w:tc>
      </w:tr>
    </w:tbl>
    <w:p w14:paraId="38826F66" w14:textId="77777777" w:rsidR="00FF37A0" w:rsidRDefault="00FF37A0" w:rsidP="00A37617">
      <w:pPr>
        <w:pStyle w:val="Caption"/>
      </w:pPr>
      <w:bookmarkStart w:id="13" w:name="_Toc445239513"/>
      <w:r w:rsidRPr="00FF37A0">
        <w:t xml:space="preserve">Table </w:t>
      </w:r>
      <w:fldSimple w:instr=" STYLEREF 1 \s ">
        <w:r w:rsidR="006E1FF6">
          <w:rPr>
            <w:noProof/>
          </w:rPr>
          <w:t>3</w:t>
        </w:r>
      </w:fldSimple>
      <w:r w:rsidRPr="00FF37A0">
        <w:t>.</w:t>
      </w:r>
      <w:fldSimple w:instr=" SEQ Table \* ARABIC \s 1 ">
        <w:r w:rsidRPr="00FF37A0">
          <w:t>5</w:t>
        </w:r>
      </w:fldSimple>
      <w:r w:rsidRPr="00FF37A0">
        <w:t xml:space="preserve"> - </w:t>
      </w:r>
      <w:r w:rsidRPr="006E1FF6">
        <w:rPr>
          <w:b w:val="0"/>
        </w:rPr>
        <w:t>Change in Gentrification Indicators by localit</w:t>
      </w:r>
      <w:bookmarkEnd w:id="13"/>
      <w:r w:rsidR="00A37617" w:rsidRPr="006E1FF6">
        <w:rPr>
          <w:b w:val="0"/>
        </w:rPr>
        <w:t>y</w:t>
      </w:r>
    </w:p>
    <w:p w14:paraId="7EF88121" w14:textId="77777777" w:rsidR="00AC4B17" w:rsidRDefault="00AC4B17">
      <w:pPr>
        <w:spacing w:after="160" w:line="252" w:lineRule="auto"/>
        <w:jc w:val="both"/>
      </w:pPr>
      <w:r>
        <w:br w:type="page"/>
      </w:r>
    </w:p>
    <w:p w14:paraId="1E7ED077" w14:textId="77777777" w:rsidR="00FF37A0" w:rsidRPr="00FF37A0" w:rsidRDefault="00FF37A0" w:rsidP="00567EF1">
      <w:pPr>
        <w:pStyle w:val="Heading2"/>
      </w:pPr>
      <w:bookmarkStart w:id="14" w:name="_Toc53"/>
      <w:bookmarkStart w:id="15" w:name="_Toc444459443"/>
      <w:bookmarkStart w:id="16" w:name="_Toc445239555"/>
      <w:r w:rsidRPr="00FF37A0">
        <w:t>Objective 3</w:t>
      </w:r>
      <w:bookmarkEnd w:id="14"/>
      <w:bookmarkEnd w:id="15"/>
      <w:bookmarkEnd w:id="16"/>
    </w:p>
    <w:p w14:paraId="02103A47" w14:textId="77777777" w:rsidR="00FF37A0" w:rsidRPr="00FF37A0" w:rsidRDefault="00FF37A0" w:rsidP="00567EF1">
      <w:pPr>
        <w:pStyle w:val="Heading3"/>
      </w:pPr>
      <w:bookmarkStart w:id="17" w:name="_Toc445239556"/>
      <w:r w:rsidRPr="00FF37A0">
        <w:t>Positive/Negative Characteristics of Light Rail</w:t>
      </w:r>
      <w:bookmarkEnd w:id="17"/>
    </w:p>
    <w:p w14:paraId="43986F7D" w14:textId="77777777" w:rsidR="00FF37A0" w:rsidRDefault="00FF37A0" w:rsidP="00050F11">
      <w:r w:rsidRPr="00EE5CC3">
        <w:t xml:space="preserve">The online survey of property developers in the Nottingham city region revealed that the most attractive aspects of LRT that will drive positive price increases is the mode’s ability to bypass traffic congestion (8/9 respondents) and provide good levels of accessibility (7/9 respondents). Studies have highlighted that due to the growth in road traffic in recent times many city centres have become increasingly less accessible, particularly during peak times due to traffic congestion. The ability of light-rail to bypass congestion through providing dedicated rights of way (ROW) and priority at junctions helps greater levels of accessibility to key services make LRT considerably more attractive than competing modes, particularly for travel within urban areas (Docherty et al, 2009; Bowes and Ihlanfeldt, 2001). This links into how improvements in access to jobs and services creates a ‘rent gap’ within the urban environment (Smith, 1979). Despite this, faster and more reliable journey times were less of a factor than greater accessibility with just 5 out of 9 respondents stating this as a factor, highlighting how in some cases (particularly in off-peak periods) that the tram may not offer any competitive journey time savings or additional levels of reliability. </w:t>
      </w:r>
    </w:p>
    <w:p w14:paraId="49F9E302" w14:textId="77777777" w:rsidR="00D61218" w:rsidRPr="00EE5CC3" w:rsidRDefault="00D61218" w:rsidP="00050F11"/>
    <w:p w14:paraId="128690FB" w14:textId="77777777" w:rsidR="00FF37A0" w:rsidRDefault="00FF37A0" w:rsidP="00FF37A0">
      <w:pPr>
        <w:pStyle w:val="Body"/>
      </w:pPr>
      <w:r>
        <w:rPr>
          <w:noProof/>
          <w:lang w:val="en-GB"/>
        </w:rPr>
        <w:drawing>
          <wp:inline distT="0" distB="0" distL="0" distR="0" wp14:anchorId="0338FA9D" wp14:editId="3BF30E16">
            <wp:extent cx="4095750" cy="2906395"/>
            <wp:effectExtent l="0" t="0" r="0" b="8255"/>
            <wp:docPr id="107374185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74AB13" w14:textId="77777777" w:rsidR="00FF37A0" w:rsidRPr="00FF37A0" w:rsidRDefault="00FF37A0" w:rsidP="00050F11">
      <w:pPr>
        <w:pStyle w:val="Caption"/>
      </w:pPr>
      <w:bookmarkStart w:id="18" w:name="_Toc445239503"/>
      <w:r w:rsidRPr="00FF37A0">
        <w:t xml:space="preserve">Figure </w:t>
      </w:r>
      <w:fldSimple w:instr=" STYLEREF 1 \s ">
        <w:r w:rsidR="00567EF1">
          <w:rPr>
            <w:noProof/>
          </w:rPr>
          <w:t>3</w:t>
        </w:r>
      </w:fldSimple>
      <w:r w:rsidR="00D61218">
        <w:t>.</w:t>
      </w:r>
      <w:fldSimple w:instr=" SEQ Figure \* ARABIC \s 1 ">
        <w:r w:rsidR="00D61218">
          <w:rPr>
            <w:noProof/>
          </w:rPr>
          <w:t>6</w:t>
        </w:r>
      </w:fldSimple>
      <w:r w:rsidRPr="00FF37A0">
        <w:t xml:space="preserve"> - </w:t>
      </w:r>
      <w:r w:rsidRPr="00A37617">
        <w:rPr>
          <w:b w:val="0"/>
        </w:rPr>
        <w:t>Estate Agency Survey: LRT characteristics in determining land value increase</w:t>
      </w:r>
      <w:bookmarkEnd w:id="18"/>
    </w:p>
    <w:p w14:paraId="49D3D317" w14:textId="77777777" w:rsidR="00FF37A0" w:rsidRDefault="00FF37A0" w:rsidP="00FF37A0">
      <w:pPr>
        <w:pStyle w:val="Body"/>
      </w:pPr>
    </w:p>
    <w:p w14:paraId="5E55F55E" w14:textId="77777777" w:rsidR="00FF37A0" w:rsidRPr="00EE5CC3" w:rsidRDefault="00FF37A0" w:rsidP="00050F11">
      <w:r w:rsidRPr="00EE5CC3">
        <w:t xml:space="preserve">Contrastingly, negative issues associated with light-rail operation can also have a predominantly negative effect on properties located directly along the tram route (Bollinger et al, 1998). It was found that the impact of noise and vibrations from trams was a dominant factor in determining any likely decreases in value along the tram corridor (5/6 respondents) as well as the visual intrusion (4/6 respondents) imposed by the overhead catenary, the tram units and station/stop infrastructure. The reduction in provision for car travel was also a significant factor as tram infrastructure may often reduce the number of available lanes and make travelling by private car considerably more challenging.  </w:t>
      </w:r>
    </w:p>
    <w:p w14:paraId="22B2F316" w14:textId="77777777" w:rsidR="00FF37A0" w:rsidRDefault="00FF37A0" w:rsidP="00FF37A0">
      <w:pPr>
        <w:pStyle w:val="Body"/>
      </w:pPr>
    </w:p>
    <w:p w14:paraId="462467F6" w14:textId="77777777" w:rsidR="00FF37A0" w:rsidRDefault="00FF37A0" w:rsidP="00FF37A0">
      <w:pPr>
        <w:pStyle w:val="Body"/>
      </w:pPr>
      <w:r>
        <w:rPr>
          <w:noProof/>
          <w:lang w:val="en-GB"/>
        </w:rPr>
        <w:drawing>
          <wp:inline distT="0" distB="0" distL="0" distR="0" wp14:anchorId="76702C8C" wp14:editId="4869DD70">
            <wp:extent cx="4524375" cy="305752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B52174" w14:textId="77777777" w:rsidR="00FF37A0" w:rsidRPr="00A37617" w:rsidRDefault="00FF37A0" w:rsidP="00050F11">
      <w:pPr>
        <w:pStyle w:val="Caption"/>
        <w:rPr>
          <w:b w:val="0"/>
        </w:rPr>
      </w:pPr>
      <w:bookmarkStart w:id="19" w:name="_Toc445239504"/>
      <w:r w:rsidRPr="00FF37A0">
        <w:t xml:space="preserve">Figure </w:t>
      </w:r>
      <w:fldSimple w:instr=" STYLEREF 1 \s ">
        <w:r w:rsidR="00567EF1">
          <w:rPr>
            <w:noProof/>
          </w:rPr>
          <w:t>3</w:t>
        </w:r>
      </w:fldSimple>
      <w:r w:rsidR="00D61218">
        <w:t>.</w:t>
      </w:r>
      <w:fldSimple w:instr=" SEQ Figure \* ARABIC \s 1 ">
        <w:r w:rsidR="00D61218">
          <w:rPr>
            <w:noProof/>
          </w:rPr>
          <w:t>7</w:t>
        </w:r>
      </w:fldSimple>
      <w:r w:rsidRPr="00FF37A0">
        <w:t xml:space="preserve"> - </w:t>
      </w:r>
      <w:r w:rsidRPr="00A37617">
        <w:rPr>
          <w:b w:val="0"/>
        </w:rPr>
        <w:t>Estate Agency Survey: Negative characteristics of LRT in determining land value</w:t>
      </w:r>
      <w:bookmarkEnd w:id="19"/>
    </w:p>
    <w:p w14:paraId="28D15E39" w14:textId="77777777" w:rsidR="00FF37A0" w:rsidRDefault="00FF37A0" w:rsidP="00567EF1">
      <w:pPr>
        <w:pStyle w:val="Heading3"/>
      </w:pPr>
      <w:bookmarkStart w:id="20" w:name="_Toc445239557"/>
      <w:r>
        <w:t>Modal Perspectives</w:t>
      </w:r>
      <w:bookmarkEnd w:id="20"/>
    </w:p>
    <w:p w14:paraId="03186696" w14:textId="77777777" w:rsidR="00FF37A0" w:rsidRPr="00EE5CC3" w:rsidRDefault="00FF37A0" w:rsidP="00050F11">
      <w:r w:rsidRPr="00EE5CC3">
        <w:t>Further results from the online survey highlight how the facilities for the private car play a greater role in determining property value than the existence of a</w:t>
      </w:r>
      <w:r w:rsidR="00567EF1">
        <w:t>ny other transport mode (Table 3</w:t>
      </w:r>
      <w:r w:rsidR="007E3B27">
        <w:t>.6</w:t>
      </w:r>
      <w:r w:rsidRPr="00EE5CC3">
        <w:t xml:space="preserve">). The weighted average of responses was 8.13 for car parking availability and 7.73 for good road connections. Proximity to the tram was highlighted as the third most important attribute however (5.60) this was considerably lower than the car-based attributes. </w:t>
      </w:r>
    </w:p>
    <w:p w14:paraId="5A242C9B" w14:textId="77777777" w:rsidR="00FF37A0" w:rsidRDefault="00FF37A0" w:rsidP="00FF37A0">
      <w:pPr>
        <w:pStyle w:val="Body"/>
        <w:rPr>
          <w:noProof/>
        </w:rPr>
      </w:pPr>
    </w:p>
    <w:tbl>
      <w:tblPr>
        <w:tblW w:w="8302" w:type="dxa"/>
        <w:tblLook w:val="04A0" w:firstRow="1" w:lastRow="0" w:firstColumn="1" w:lastColumn="0" w:noHBand="0" w:noVBand="1"/>
      </w:tblPr>
      <w:tblGrid>
        <w:gridCol w:w="1601"/>
        <w:gridCol w:w="1092"/>
        <w:gridCol w:w="1162"/>
        <w:gridCol w:w="1177"/>
        <w:gridCol w:w="1115"/>
        <w:gridCol w:w="1048"/>
        <w:gridCol w:w="1107"/>
      </w:tblGrid>
      <w:tr w:rsidR="00582730" w:rsidRPr="009A6CC7" w14:paraId="2A242642" w14:textId="77777777" w:rsidTr="00582730">
        <w:trPr>
          <w:trHeight w:val="399"/>
        </w:trPr>
        <w:tc>
          <w:tcPr>
            <w:tcW w:w="1601" w:type="dxa"/>
            <w:tcBorders>
              <w:top w:val="single" w:sz="4" w:space="0" w:color="auto"/>
              <w:left w:val="single" w:sz="4" w:space="0" w:color="auto"/>
              <w:bottom w:val="single" w:sz="4" w:space="0" w:color="auto"/>
              <w:right w:val="single" w:sz="4" w:space="0" w:color="auto"/>
            </w:tcBorders>
            <w:shd w:val="clear" w:color="auto" w:fill="323F4F"/>
            <w:noWrap/>
            <w:vAlign w:val="bottom"/>
            <w:hideMark/>
          </w:tcPr>
          <w:p w14:paraId="38D02548" w14:textId="77777777" w:rsidR="00FF37A0" w:rsidRPr="00EE5CC3" w:rsidRDefault="00FF37A0" w:rsidP="00846313">
            <w:pPr>
              <w:pStyle w:val="Body"/>
              <w:rPr>
                <w:color w:val="FFFFFF" w:themeColor="background1"/>
                <w:sz w:val="20"/>
              </w:rPr>
            </w:pPr>
          </w:p>
        </w:tc>
        <w:tc>
          <w:tcPr>
            <w:tcW w:w="1092" w:type="dxa"/>
            <w:tcBorders>
              <w:top w:val="single" w:sz="4" w:space="0" w:color="auto"/>
              <w:left w:val="single" w:sz="4" w:space="0" w:color="auto"/>
              <w:bottom w:val="single" w:sz="4" w:space="0" w:color="auto"/>
              <w:right w:val="single" w:sz="4" w:space="0" w:color="auto"/>
            </w:tcBorders>
            <w:shd w:val="clear" w:color="auto" w:fill="323F4F"/>
            <w:noWrap/>
            <w:vAlign w:val="bottom"/>
            <w:hideMark/>
          </w:tcPr>
          <w:p w14:paraId="24330603" w14:textId="77777777" w:rsidR="00FF37A0" w:rsidRPr="00EE5CC3" w:rsidRDefault="00FF37A0" w:rsidP="00846313">
            <w:pPr>
              <w:pStyle w:val="Body"/>
              <w:rPr>
                <w:color w:val="FFFFFF" w:themeColor="background1"/>
                <w:sz w:val="20"/>
              </w:rPr>
            </w:pPr>
            <w:r w:rsidRPr="00EE5CC3">
              <w:rPr>
                <w:color w:val="FFFFFF" w:themeColor="background1"/>
                <w:sz w:val="20"/>
              </w:rPr>
              <w:t>Not Important</w:t>
            </w:r>
          </w:p>
        </w:tc>
        <w:tc>
          <w:tcPr>
            <w:tcW w:w="1162" w:type="dxa"/>
            <w:tcBorders>
              <w:top w:val="single" w:sz="4" w:space="0" w:color="auto"/>
              <w:left w:val="single" w:sz="4" w:space="0" w:color="auto"/>
              <w:bottom w:val="single" w:sz="4" w:space="0" w:color="auto"/>
              <w:right w:val="single" w:sz="4" w:space="0" w:color="auto"/>
            </w:tcBorders>
            <w:shd w:val="clear" w:color="auto" w:fill="323F4F"/>
            <w:noWrap/>
            <w:vAlign w:val="bottom"/>
            <w:hideMark/>
          </w:tcPr>
          <w:p w14:paraId="547A662C" w14:textId="77777777" w:rsidR="00FF37A0" w:rsidRPr="00EE5CC3" w:rsidRDefault="00FF37A0" w:rsidP="00846313">
            <w:pPr>
              <w:pStyle w:val="Body"/>
              <w:rPr>
                <w:color w:val="FFFFFF" w:themeColor="background1"/>
                <w:sz w:val="20"/>
              </w:rPr>
            </w:pPr>
            <w:r w:rsidRPr="00EE5CC3">
              <w:rPr>
                <w:color w:val="FFFFFF" w:themeColor="background1"/>
                <w:sz w:val="20"/>
              </w:rPr>
              <w:t>Slightly Important</w:t>
            </w:r>
          </w:p>
        </w:tc>
        <w:tc>
          <w:tcPr>
            <w:tcW w:w="1177" w:type="dxa"/>
            <w:tcBorders>
              <w:top w:val="single" w:sz="4" w:space="0" w:color="auto"/>
              <w:left w:val="single" w:sz="4" w:space="0" w:color="auto"/>
              <w:bottom w:val="single" w:sz="4" w:space="0" w:color="auto"/>
              <w:right w:val="single" w:sz="4" w:space="0" w:color="auto"/>
            </w:tcBorders>
            <w:shd w:val="clear" w:color="auto" w:fill="323F4F"/>
            <w:noWrap/>
            <w:vAlign w:val="bottom"/>
            <w:hideMark/>
          </w:tcPr>
          <w:p w14:paraId="76AE91F4" w14:textId="77777777" w:rsidR="00FF37A0" w:rsidRPr="00EE5CC3" w:rsidRDefault="00FF37A0" w:rsidP="00846313">
            <w:pPr>
              <w:pStyle w:val="Body"/>
              <w:rPr>
                <w:color w:val="FFFFFF" w:themeColor="background1"/>
                <w:sz w:val="20"/>
              </w:rPr>
            </w:pPr>
            <w:r w:rsidRPr="00EE5CC3">
              <w:rPr>
                <w:color w:val="FFFFFF" w:themeColor="background1"/>
                <w:sz w:val="20"/>
              </w:rPr>
              <w:t>Moderately Important</w:t>
            </w:r>
          </w:p>
        </w:tc>
        <w:tc>
          <w:tcPr>
            <w:tcW w:w="1115" w:type="dxa"/>
            <w:tcBorders>
              <w:top w:val="single" w:sz="4" w:space="0" w:color="auto"/>
              <w:left w:val="single" w:sz="4" w:space="0" w:color="auto"/>
              <w:bottom w:val="single" w:sz="4" w:space="0" w:color="auto"/>
              <w:right w:val="single" w:sz="4" w:space="0" w:color="auto"/>
            </w:tcBorders>
            <w:shd w:val="clear" w:color="auto" w:fill="323F4F"/>
            <w:noWrap/>
            <w:vAlign w:val="bottom"/>
            <w:hideMark/>
          </w:tcPr>
          <w:p w14:paraId="22223408" w14:textId="77777777" w:rsidR="00FF37A0" w:rsidRPr="00EE5CC3" w:rsidRDefault="00FF37A0" w:rsidP="00846313">
            <w:pPr>
              <w:pStyle w:val="Body"/>
              <w:rPr>
                <w:color w:val="FFFFFF" w:themeColor="background1"/>
                <w:sz w:val="20"/>
              </w:rPr>
            </w:pPr>
            <w:r w:rsidRPr="00EE5CC3">
              <w:rPr>
                <w:color w:val="FFFFFF" w:themeColor="background1"/>
                <w:sz w:val="20"/>
              </w:rPr>
              <w:t>Highly Important</w:t>
            </w:r>
          </w:p>
        </w:tc>
        <w:tc>
          <w:tcPr>
            <w:tcW w:w="1048" w:type="dxa"/>
            <w:tcBorders>
              <w:top w:val="single" w:sz="4" w:space="0" w:color="auto"/>
              <w:left w:val="single" w:sz="4" w:space="0" w:color="auto"/>
              <w:bottom w:val="single" w:sz="4" w:space="0" w:color="auto"/>
              <w:right w:val="single" w:sz="4" w:space="0" w:color="auto"/>
            </w:tcBorders>
            <w:shd w:val="clear" w:color="auto" w:fill="323F4F"/>
            <w:noWrap/>
            <w:vAlign w:val="bottom"/>
            <w:hideMark/>
          </w:tcPr>
          <w:p w14:paraId="1532CA16" w14:textId="77777777" w:rsidR="00FF37A0" w:rsidRPr="00EE5CC3" w:rsidRDefault="00FF37A0" w:rsidP="00846313">
            <w:pPr>
              <w:pStyle w:val="Body"/>
              <w:rPr>
                <w:color w:val="FFFFFF" w:themeColor="background1"/>
                <w:sz w:val="20"/>
              </w:rPr>
            </w:pPr>
            <w:r w:rsidRPr="00EE5CC3">
              <w:rPr>
                <w:color w:val="FFFFFF" w:themeColor="background1"/>
                <w:sz w:val="20"/>
              </w:rPr>
              <w:t>Most Important</w:t>
            </w:r>
          </w:p>
        </w:tc>
        <w:tc>
          <w:tcPr>
            <w:tcW w:w="1107" w:type="dxa"/>
            <w:tcBorders>
              <w:top w:val="single" w:sz="4" w:space="0" w:color="auto"/>
              <w:left w:val="single" w:sz="4" w:space="0" w:color="auto"/>
              <w:bottom w:val="single" w:sz="4" w:space="0" w:color="auto"/>
              <w:right w:val="single" w:sz="4" w:space="0" w:color="auto"/>
            </w:tcBorders>
            <w:shd w:val="clear" w:color="auto" w:fill="323F4F"/>
            <w:noWrap/>
            <w:vAlign w:val="bottom"/>
            <w:hideMark/>
          </w:tcPr>
          <w:p w14:paraId="587F63CA" w14:textId="77777777" w:rsidR="00FF37A0" w:rsidRPr="00EE5CC3" w:rsidRDefault="00FF37A0" w:rsidP="00846313">
            <w:pPr>
              <w:pStyle w:val="Body"/>
              <w:rPr>
                <w:color w:val="FFFFFF" w:themeColor="background1"/>
                <w:sz w:val="20"/>
              </w:rPr>
            </w:pPr>
            <w:r w:rsidRPr="00EE5CC3">
              <w:rPr>
                <w:color w:val="FFFFFF" w:themeColor="background1"/>
                <w:sz w:val="20"/>
              </w:rPr>
              <w:t>Weighted Average</w:t>
            </w:r>
          </w:p>
        </w:tc>
      </w:tr>
      <w:tr w:rsidR="00582730" w:rsidRPr="00B354A8" w14:paraId="6D3A7D9D" w14:textId="77777777" w:rsidTr="00582730">
        <w:trPr>
          <w:trHeight w:val="267"/>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C7EB4" w14:textId="77777777" w:rsidR="00FF37A0" w:rsidRPr="00EE5CC3" w:rsidRDefault="00FF37A0" w:rsidP="00582730">
            <w:pPr>
              <w:pStyle w:val="Body"/>
              <w:jc w:val="center"/>
              <w:rPr>
                <w:sz w:val="20"/>
                <w:szCs w:val="20"/>
              </w:rPr>
            </w:pPr>
            <w:r w:rsidRPr="00EE5CC3">
              <w:rPr>
                <w:sz w:val="20"/>
                <w:szCs w:val="20"/>
              </w:rPr>
              <w:t>Proximity to a tram stop</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5993A" w14:textId="77777777" w:rsidR="00FF37A0" w:rsidRPr="00EE5CC3" w:rsidRDefault="00FF37A0" w:rsidP="00582730">
            <w:pPr>
              <w:pStyle w:val="Body"/>
              <w:jc w:val="center"/>
              <w:rPr>
                <w:sz w:val="20"/>
                <w:szCs w:val="20"/>
              </w:rPr>
            </w:pPr>
            <w:r w:rsidRPr="00EE5CC3">
              <w:rPr>
                <w:sz w:val="20"/>
                <w:szCs w:val="20"/>
              </w:rPr>
              <w:t>7%</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43E1C" w14:textId="77777777" w:rsidR="00FF37A0" w:rsidRPr="00EE5CC3" w:rsidRDefault="00FF37A0" w:rsidP="00582730">
            <w:pPr>
              <w:pStyle w:val="Body"/>
              <w:jc w:val="center"/>
              <w:rPr>
                <w:sz w:val="20"/>
                <w:szCs w:val="20"/>
              </w:rPr>
            </w:pPr>
            <w:r w:rsidRPr="00EE5CC3">
              <w:rPr>
                <w:sz w:val="20"/>
                <w:szCs w:val="20"/>
              </w:rPr>
              <w:t>27%</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F6B59" w14:textId="77777777" w:rsidR="00FF37A0" w:rsidRPr="00EE5CC3" w:rsidRDefault="00FF37A0" w:rsidP="00582730">
            <w:pPr>
              <w:pStyle w:val="Body"/>
              <w:jc w:val="center"/>
              <w:rPr>
                <w:sz w:val="20"/>
                <w:szCs w:val="20"/>
              </w:rPr>
            </w:pPr>
            <w:r w:rsidRPr="00EE5CC3">
              <w:rPr>
                <w:sz w:val="20"/>
                <w:szCs w:val="20"/>
              </w:rPr>
              <w:t>47%</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6117E" w14:textId="77777777" w:rsidR="00FF37A0" w:rsidRPr="00EE5CC3" w:rsidRDefault="00FF37A0" w:rsidP="00582730">
            <w:pPr>
              <w:pStyle w:val="Body"/>
              <w:jc w:val="center"/>
              <w:rPr>
                <w:sz w:val="20"/>
                <w:szCs w:val="20"/>
              </w:rPr>
            </w:pPr>
            <w:r w:rsidRPr="00EE5CC3">
              <w:rPr>
                <w:sz w:val="20"/>
                <w:szCs w:val="20"/>
              </w:rPr>
              <w:t>20%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9F8A5" w14:textId="77777777" w:rsidR="00FF37A0" w:rsidRPr="00EE5CC3" w:rsidRDefault="00FF37A0" w:rsidP="00582730">
            <w:pPr>
              <w:pStyle w:val="Body"/>
              <w:jc w:val="center"/>
              <w:rPr>
                <w:sz w:val="20"/>
                <w:szCs w:val="20"/>
              </w:rPr>
            </w:pPr>
            <w:r w:rsidRPr="00EE5CC3">
              <w:rPr>
                <w:sz w:val="20"/>
                <w:szCs w:val="20"/>
              </w:rPr>
              <w:t>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4C51A" w14:textId="77777777" w:rsidR="00FF37A0" w:rsidRPr="00EE5CC3" w:rsidRDefault="00FF37A0" w:rsidP="00582730">
            <w:pPr>
              <w:pStyle w:val="Body"/>
              <w:jc w:val="center"/>
              <w:rPr>
                <w:sz w:val="20"/>
                <w:szCs w:val="20"/>
              </w:rPr>
            </w:pPr>
            <w:r w:rsidRPr="00EE5CC3">
              <w:rPr>
                <w:sz w:val="20"/>
                <w:szCs w:val="20"/>
              </w:rPr>
              <w:t>5.60</w:t>
            </w:r>
          </w:p>
        </w:tc>
      </w:tr>
      <w:tr w:rsidR="00582730" w:rsidRPr="00B354A8" w14:paraId="6ADBF114" w14:textId="77777777" w:rsidTr="00582730">
        <w:trPr>
          <w:trHeight w:val="124"/>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1E3F2" w14:textId="77777777" w:rsidR="00FF37A0" w:rsidRPr="00EE5CC3" w:rsidRDefault="00FF37A0" w:rsidP="00582730">
            <w:pPr>
              <w:pStyle w:val="Body"/>
              <w:jc w:val="center"/>
              <w:rPr>
                <w:sz w:val="20"/>
                <w:szCs w:val="20"/>
              </w:rPr>
            </w:pPr>
            <w:r w:rsidRPr="00EE5CC3">
              <w:rPr>
                <w:sz w:val="20"/>
                <w:szCs w:val="20"/>
              </w:rPr>
              <w:t>Proximity to a bus stop</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BB1F" w14:textId="77777777" w:rsidR="00FF37A0" w:rsidRPr="00EE5CC3" w:rsidRDefault="00FF37A0" w:rsidP="00582730">
            <w:pPr>
              <w:pStyle w:val="Body"/>
              <w:jc w:val="center"/>
              <w:rPr>
                <w:sz w:val="20"/>
                <w:szCs w:val="20"/>
              </w:rPr>
            </w:pPr>
            <w:r w:rsidRPr="00EE5CC3">
              <w:rPr>
                <w:sz w:val="20"/>
                <w:szCs w:val="20"/>
              </w:rPr>
              <w:t>13%</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13FA5" w14:textId="77777777" w:rsidR="00FF37A0" w:rsidRPr="00EE5CC3" w:rsidRDefault="00FF37A0" w:rsidP="00582730">
            <w:pPr>
              <w:pStyle w:val="Body"/>
              <w:jc w:val="center"/>
              <w:rPr>
                <w:sz w:val="20"/>
                <w:szCs w:val="20"/>
              </w:rPr>
            </w:pPr>
            <w:r w:rsidRPr="00EE5CC3">
              <w:rPr>
                <w:sz w:val="20"/>
                <w:szCs w:val="20"/>
              </w:rPr>
              <w:t>40%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37D4C" w14:textId="77777777" w:rsidR="00FF37A0" w:rsidRPr="00EE5CC3" w:rsidRDefault="00FF37A0" w:rsidP="00582730">
            <w:pPr>
              <w:pStyle w:val="Body"/>
              <w:jc w:val="center"/>
              <w:rPr>
                <w:sz w:val="20"/>
                <w:szCs w:val="20"/>
              </w:rPr>
            </w:pPr>
            <w:r w:rsidRPr="00EE5CC3">
              <w:rPr>
                <w:sz w:val="20"/>
                <w:szCs w:val="20"/>
              </w:rPr>
              <w:t>47%</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ABD13" w14:textId="77777777" w:rsidR="00FF37A0" w:rsidRPr="00EE5CC3" w:rsidRDefault="00FF37A0" w:rsidP="00582730">
            <w:pPr>
              <w:pStyle w:val="Body"/>
              <w:jc w:val="center"/>
              <w:rPr>
                <w:sz w:val="20"/>
                <w:szCs w:val="20"/>
              </w:rPr>
            </w:pPr>
            <w:r w:rsidRPr="00EE5CC3">
              <w:rPr>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47466" w14:textId="77777777" w:rsidR="00FF37A0" w:rsidRPr="00EE5CC3" w:rsidRDefault="00FF37A0" w:rsidP="00582730">
            <w:pPr>
              <w:pStyle w:val="Body"/>
              <w:jc w:val="center"/>
              <w:rPr>
                <w:sz w:val="20"/>
                <w:szCs w:val="20"/>
              </w:rPr>
            </w:pPr>
            <w:r w:rsidRPr="00EE5CC3">
              <w:rPr>
                <w:sz w:val="20"/>
                <w:szCs w:val="20"/>
              </w:rPr>
              <w:t>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20F25" w14:textId="77777777" w:rsidR="00FF37A0" w:rsidRPr="00EE5CC3" w:rsidRDefault="00FF37A0" w:rsidP="00582730">
            <w:pPr>
              <w:pStyle w:val="Body"/>
              <w:jc w:val="center"/>
              <w:rPr>
                <w:sz w:val="20"/>
                <w:szCs w:val="20"/>
              </w:rPr>
            </w:pPr>
            <w:r w:rsidRPr="00EE5CC3">
              <w:rPr>
                <w:sz w:val="20"/>
                <w:szCs w:val="20"/>
              </w:rPr>
              <w:t>4.67</w:t>
            </w:r>
          </w:p>
        </w:tc>
      </w:tr>
      <w:tr w:rsidR="00582730" w:rsidRPr="00B354A8" w14:paraId="050468F2" w14:textId="77777777" w:rsidTr="00582730">
        <w:trPr>
          <w:trHeight w:val="124"/>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C8906" w14:textId="77777777" w:rsidR="00FF37A0" w:rsidRPr="00EE5CC3" w:rsidRDefault="00FF37A0" w:rsidP="00582730">
            <w:pPr>
              <w:pStyle w:val="Body"/>
              <w:jc w:val="center"/>
              <w:rPr>
                <w:sz w:val="20"/>
                <w:szCs w:val="20"/>
              </w:rPr>
            </w:pPr>
            <w:r w:rsidRPr="00EE5CC3">
              <w:rPr>
                <w:sz w:val="20"/>
                <w:szCs w:val="20"/>
              </w:rPr>
              <w:t>Car parking availability</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16F4A" w14:textId="77777777" w:rsidR="00FF37A0" w:rsidRPr="00EE5CC3" w:rsidRDefault="00FF37A0" w:rsidP="00582730">
            <w:pPr>
              <w:pStyle w:val="Body"/>
              <w:jc w:val="center"/>
              <w:rPr>
                <w:sz w:val="20"/>
                <w:szCs w:val="20"/>
              </w:rPr>
            </w:pPr>
            <w:r w:rsidRPr="00EE5CC3">
              <w:rPr>
                <w:sz w:val="20"/>
                <w:szCs w:val="20"/>
              </w:rPr>
              <w:t>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747FF" w14:textId="77777777" w:rsidR="00FF37A0" w:rsidRPr="00EE5CC3" w:rsidRDefault="00FF37A0" w:rsidP="00582730">
            <w:pPr>
              <w:pStyle w:val="Body"/>
              <w:jc w:val="center"/>
              <w:rPr>
                <w:sz w:val="20"/>
                <w:szCs w:val="20"/>
              </w:rPr>
            </w:pPr>
            <w:r w:rsidRPr="00EE5CC3">
              <w:rPr>
                <w:sz w:val="20"/>
                <w:szCs w:val="20"/>
              </w:rPr>
              <w:t>7%</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1BA82" w14:textId="77777777" w:rsidR="00FF37A0" w:rsidRPr="00EE5CC3" w:rsidRDefault="00FF37A0" w:rsidP="00582730">
            <w:pPr>
              <w:pStyle w:val="Body"/>
              <w:jc w:val="center"/>
              <w:rPr>
                <w:sz w:val="20"/>
                <w:szCs w:val="20"/>
              </w:rPr>
            </w:pPr>
            <w:r w:rsidRPr="00EE5CC3">
              <w:rPr>
                <w:sz w:val="20"/>
                <w:szCs w:val="20"/>
              </w:rPr>
              <w:t>13%</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CE1E6" w14:textId="77777777" w:rsidR="00FF37A0" w:rsidRPr="00EE5CC3" w:rsidRDefault="00FF37A0" w:rsidP="00582730">
            <w:pPr>
              <w:pStyle w:val="Body"/>
              <w:jc w:val="center"/>
              <w:rPr>
                <w:sz w:val="20"/>
                <w:szCs w:val="20"/>
              </w:rPr>
            </w:pPr>
            <w:r w:rsidRPr="00EE5CC3">
              <w:rPr>
                <w:sz w:val="20"/>
                <w:szCs w:val="20"/>
              </w:rPr>
              <w:t>47%</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F1C6" w14:textId="77777777" w:rsidR="00FF37A0" w:rsidRPr="00EE5CC3" w:rsidRDefault="00FF37A0" w:rsidP="00582730">
            <w:pPr>
              <w:pStyle w:val="Body"/>
              <w:jc w:val="center"/>
              <w:rPr>
                <w:sz w:val="20"/>
                <w:szCs w:val="20"/>
              </w:rPr>
            </w:pPr>
            <w:r w:rsidRPr="00EE5CC3">
              <w:rPr>
                <w:sz w:val="20"/>
                <w:szCs w:val="20"/>
              </w:rPr>
              <w:t>33%</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1FBC3" w14:textId="77777777" w:rsidR="00FF37A0" w:rsidRPr="00EE5CC3" w:rsidRDefault="00FF37A0" w:rsidP="00582730">
            <w:pPr>
              <w:pStyle w:val="Body"/>
              <w:jc w:val="center"/>
              <w:rPr>
                <w:sz w:val="20"/>
                <w:szCs w:val="20"/>
              </w:rPr>
            </w:pPr>
            <w:r w:rsidRPr="00EE5CC3">
              <w:rPr>
                <w:sz w:val="20"/>
                <w:szCs w:val="20"/>
              </w:rPr>
              <w:t>8.13</w:t>
            </w:r>
          </w:p>
        </w:tc>
      </w:tr>
      <w:tr w:rsidR="00582730" w:rsidRPr="00B354A8" w14:paraId="3DD6EDD7" w14:textId="77777777" w:rsidTr="00582730">
        <w:trPr>
          <w:trHeight w:val="124"/>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ABE32" w14:textId="77777777" w:rsidR="00FF37A0" w:rsidRPr="00EE5CC3" w:rsidRDefault="00FF37A0" w:rsidP="00582730">
            <w:pPr>
              <w:pStyle w:val="Body"/>
              <w:jc w:val="center"/>
              <w:rPr>
                <w:sz w:val="20"/>
                <w:szCs w:val="20"/>
              </w:rPr>
            </w:pPr>
            <w:r w:rsidRPr="00EE5CC3">
              <w:rPr>
                <w:sz w:val="20"/>
                <w:szCs w:val="20"/>
              </w:rPr>
              <w:t>Good road connections</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F3313" w14:textId="77777777" w:rsidR="00FF37A0" w:rsidRPr="00EE5CC3" w:rsidRDefault="00FF37A0" w:rsidP="00582730">
            <w:pPr>
              <w:pStyle w:val="Body"/>
              <w:jc w:val="center"/>
              <w:rPr>
                <w:sz w:val="20"/>
                <w:szCs w:val="20"/>
              </w:rPr>
            </w:pPr>
            <w:r w:rsidRPr="00EE5CC3">
              <w:rPr>
                <w:sz w:val="20"/>
                <w:szCs w:val="20"/>
              </w:rPr>
              <w:t>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70824" w14:textId="77777777" w:rsidR="00FF37A0" w:rsidRPr="00EE5CC3" w:rsidRDefault="00FF37A0" w:rsidP="00582730">
            <w:pPr>
              <w:pStyle w:val="Body"/>
              <w:jc w:val="center"/>
              <w:rPr>
                <w:sz w:val="20"/>
                <w:szCs w:val="20"/>
              </w:rPr>
            </w:pPr>
            <w:r w:rsidRPr="00EE5CC3">
              <w:rPr>
                <w:sz w:val="20"/>
                <w:szCs w:val="20"/>
              </w:rPr>
              <w:t>0.00%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0154F" w14:textId="77777777" w:rsidR="00FF37A0" w:rsidRPr="00EE5CC3" w:rsidRDefault="00FF37A0" w:rsidP="00582730">
            <w:pPr>
              <w:pStyle w:val="Body"/>
              <w:jc w:val="center"/>
              <w:rPr>
                <w:sz w:val="20"/>
                <w:szCs w:val="20"/>
              </w:rPr>
            </w:pPr>
            <w:r w:rsidRPr="00EE5CC3">
              <w:rPr>
                <w:sz w:val="20"/>
                <w:szCs w:val="20"/>
              </w:rPr>
              <w:t>33%</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E5570" w14:textId="77777777" w:rsidR="00FF37A0" w:rsidRPr="00EE5CC3" w:rsidRDefault="00FF37A0" w:rsidP="00582730">
            <w:pPr>
              <w:pStyle w:val="Body"/>
              <w:jc w:val="center"/>
              <w:rPr>
                <w:sz w:val="20"/>
                <w:szCs w:val="20"/>
              </w:rPr>
            </w:pPr>
            <w:r w:rsidRPr="00EE5CC3">
              <w:rPr>
                <w:sz w:val="20"/>
                <w:szCs w:val="20"/>
              </w:rPr>
              <w:t>47%</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06615" w14:textId="77777777" w:rsidR="00FF37A0" w:rsidRPr="00EE5CC3" w:rsidRDefault="00FF37A0" w:rsidP="00582730">
            <w:pPr>
              <w:pStyle w:val="Body"/>
              <w:jc w:val="center"/>
              <w:rPr>
                <w:sz w:val="20"/>
                <w:szCs w:val="20"/>
              </w:rPr>
            </w:pPr>
            <w:r w:rsidRPr="00EE5CC3">
              <w:rPr>
                <w:sz w:val="20"/>
                <w:szCs w:val="20"/>
              </w:rPr>
              <w:t>20%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8F68A" w14:textId="77777777" w:rsidR="00FF37A0" w:rsidRPr="00EE5CC3" w:rsidRDefault="00FF37A0" w:rsidP="00582730">
            <w:pPr>
              <w:pStyle w:val="Body"/>
              <w:jc w:val="center"/>
              <w:rPr>
                <w:sz w:val="20"/>
                <w:szCs w:val="20"/>
              </w:rPr>
            </w:pPr>
            <w:r w:rsidRPr="00EE5CC3">
              <w:rPr>
                <w:sz w:val="20"/>
                <w:szCs w:val="20"/>
              </w:rPr>
              <w:t>7.73</w:t>
            </w:r>
          </w:p>
        </w:tc>
      </w:tr>
      <w:tr w:rsidR="00582730" w:rsidRPr="00B354A8" w14:paraId="35C88DE1" w14:textId="77777777" w:rsidTr="00582730">
        <w:trPr>
          <w:trHeight w:val="196"/>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F258C" w14:textId="77777777" w:rsidR="00FF37A0" w:rsidRPr="00EE5CC3" w:rsidRDefault="00FF37A0" w:rsidP="00582730">
            <w:pPr>
              <w:pStyle w:val="Body"/>
              <w:jc w:val="center"/>
              <w:rPr>
                <w:sz w:val="20"/>
                <w:szCs w:val="20"/>
              </w:rPr>
            </w:pPr>
            <w:r w:rsidRPr="00EE5CC3">
              <w:rPr>
                <w:sz w:val="20"/>
                <w:szCs w:val="20"/>
              </w:rPr>
              <w:t>Good walking/cycling facilities</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060E6" w14:textId="77777777" w:rsidR="00FF37A0" w:rsidRPr="00EE5CC3" w:rsidRDefault="00FF37A0" w:rsidP="00582730">
            <w:pPr>
              <w:pStyle w:val="Body"/>
              <w:jc w:val="center"/>
              <w:rPr>
                <w:sz w:val="20"/>
                <w:szCs w:val="20"/>
              </w:rPr>
            </w:pPr>
            <w:r w:rsidRPr="00EE5CC3">
              <w:rPr>
                <w:sz w:val="20"/>
                <w:szCs w:val="20"/>
              </w:rPr>
              <w:t>20%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226E8" w14:textId="77777777" w:rsidR="00FF37A0" w:rsidRPr="00EE5CC3" w:rsidRDefault="00FF37A0" w:rsidP="00582730">
            <w:pPr>
              <w:pStyle w:val="Body"/>
              <w:jc w:val="center"/>
              <w:rPr>
                <w:sz w:val="20"/>
                <w:szCs w:val="20"/>
              </w:rPr>
            </w:pPr>
            <w:r w:rsidRPr="00EE5CC3">
              <w:rPr>
                <w:sz w:val="20"/>
                <w:szCs w:val="20"/>
              </w:rPr>
              <w:t>27%</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B5378" w14:textId="77777777" w:rsidR="00FF37A0" w:rsidRPr="00EE5CC3" w:rsidRDefault="00FF37A0" w:rsidP="00582730">
            <w:pPr>
              <w:pStyle w:val="Body"/>
              <w:jc w:val="center"/>
              <w:rPr>
                <w:sz w:val="20"/>
                <w:szCs w:val="20"/>
              </w:rPr>
            </w:pPr>
            <w:r w:rsidRPr="00EE5CC3">
              <w:rPr>
                <w:sz w:val="20"/>
                <w:szCs w:val="20"/>
              </w:rPr>
              <w:t>53%</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DFD7D" w14:textId="77777777" w:rsidR="00FF37A0" w:rsidRPr="00EE5CC3" w:rsidRDefault="00FF37A0" w:rsidP="00582730">
            <w:pPr>
              <w:pStyle w:val="Body"/>
              <w:jc w:val="center"/>
              <w:rPr>
                <w:sz w:val="20"/>
                <w:szCs w:val="20"/>
              </w:rPr>
            </w:pPr>
            <w:r w:rsidRPr="00EE5CC3">
              <w:rPr>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249A6" w14:textId="77777777" w:rsidR="00FF37A0" w:rsidRPr="00EE5CC3" w:rsidRDefault="00FF37A0" w:rsidP="00582730">
            <w:pPr>
              <w:pStyle w:val="Body"/>
              <w:jc w:val="center"/>
              <w:rPr>
                <w:sz w:val="20"/>
                <w:szCs w:val="20"/>
              </w:rPr>
            </w:pPr>
            <w:r w:rsidRPr="00EE5CC3">
              <w:rPr>
                <w:sz w:val="20"/>
                <w:szCs w:val="20"/>
              </w:rPr>
              <w:t>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049B5" w14:textId="77777777" w:rsidR="00FF37A0" w:rsidRPr="00EE5CC3" w:rsidRDefault="00FF37A0" w:rsidP="00582730">
            <w:pPr>
              <w:pStyle w:val="Body"/>
              <w:jc w:val="center"/>
              <w:rPr>
                <w:sz w:val="20"/>
                <w:szCs w:val="20"/>
              </w:rPr>
            </w:pPr>
            <w:r w:rsidRPr="00EE5CC3">
              <w:rPr>
                <w:sz w:val="20"/>
                <w:szCs w:val="20"/>
              </w:rPr>
              <w:t>4.67</w:t>
            </w:r>
          </w:p>
        </w:tc>
      </w:tr>
      <w:tr w:rsidR="00582730" w:rsidRPr="00B354A8" w14:paraId="0BE16DB4" w14:textId="77777777" w:rsidTr="00582730">
        <w:trPr>
          <w:trHeight w:val="70"/>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7C495" w14:textId="77777777" w:rsidR="00FF37A0" w:rsidRPr="00EE5CC3" w:rsidRDefault="00FF37A0" w:rsidP="00582730">
            <w:pPr>
              <w:pStyle w:val="Body"/>
              <w:jc w:val="center"/>
              <w:rPr>
                <w:sz w:val="20"/>
                <w:szCs w:val="20"/>
              </w:rPr>
            </w:pPr>
            <w:r w:rsidRPr="00EE5CC3">
              <w:rPr>
                <w:sz w:val="20"/>
                <w:szCs w:val="20"/>
              </w:rPr>
              <w:t>Proximity to a train station</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D6BC8" w14:textId="77777777" w:rsidR="00FF37A0" w:rsidRPr="00EE5CC3" w:rsidRDefault="00FF37A0" w:rsidP="00582730">
            <w:pPr>
              <w:pStyle w:val="Body"/>
              <w:jc w:val="center"/>
              <w:rPr>
                <w:sz w:val="20"/>
                <w:szCs w:val="20"/>
              </w:rPr>
            </w:pPr>
            <w:r w:rsidRPr="00EE5CC3">
              <w:rPr>
                <w:sz w:val="20"/>
                <w:szCs w:val="20"/>
              </w:rPr>
              <w:t>13%</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CC7D4" w14:textId="77777777" w:rsidR="00FF37A0" w:rsidRPr="00EE5CC3" w:rsidRDefault="00FF37A0" w:rsidP="00582730">
            <w:pPr>
              <w:pStyle w:val="Body"/>
              <w:jc w:val="center"/>
              <w:rPr>
                <w:sz w:val="20"/>
                <w:szCs w:val="20"/>
              </w:rPr>
            </w:pPr>
            <w:r w:rsidRPr="00EE5CC3">
              <w:rPr>
                <w:sz w:val="20"/>
                <w:szCs w:val="20"/>
              </w:rPr>
              <w:t>33%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AC045" w14:textId="77777777" w:rsidR="00FF37A0" w:rsidRPr="00EE5CC3" w:rsidRDefault="00FF37A0" w:rsidP="00582730">
            <w:pPr>
              <w:pStyle w:val="Body"/>
              <w:jc w:val="center"/>
              <w:rPr>
                <w:sz w:val="20"/>
                <w:szCs w:val="20"/>
              </w:rPr>
            </w:pPr>
            <w:r w:rsidRPr="00EE5CC3">
              <w:rPr>
                <w:sz w:val="20"/>
                <w:szCs w:val="20"/>
              </w:rPr>
              <w:t>40%</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EF002" w14:textId="77777777" w:rsidR="00FF37A0" w:rsidRPr="00EE5CC3" w:rsidRDefault="00FF37A0" w:rsidP="00582730">
            <w:pPr>
              <w:pStyle w:val="Body"/>
              <w:jc w:val="center"/>
              <w:rPr>
                <w:sz w:val="20"/>
                <w:szCs w:val="20"/>
              </w:rPr>
            </w:pPr>
            <w:r w:rsidRPr="00EE5CC3">
              <w:rPr>
                <w:sz w:val="20"/>
                <w:szCs w:val="20"/>
              </w:rPr>
              <w:t>13%</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A4782" w14:textId="77777777" w:rsidR="00FF37A0" w:rsidRPr="00EE5CC3" w:rsidRDefault="00FF37A0" w:rsidP="00582730">
            <w:pPr>
              <w:pStyle w:val="Body"/>
              <w:jc w:val="center"/>
              <w:rPr>
                <w:sz w:val="20"/>
                <w:szCs w:val="20"/>
              </w:rPr>
            </w:pPr>
            <w:r w:rsidRPr="00EE5CC3">
              <w:rPr>
                <w:sz w:val="20"/>
                <w:szCs w:val="20"/>
              </w:rPr>
              <w:t>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0458" w14:textId="77777777" w:rsidR="00FF37A0" w:rsidRPr="00EE5CC3" w:rsidRDefault="00FF37A0" w:rsidP="00582730">
            <w:pPr>
              <w:pStyle w:val="Body"/>
              <w:jc w:val="center"/>
              <w:rPr>
                <w:sz w:val="20"/>
                <w:szCs w:val="20"/>
              </w:rPr>
            </w:pPr>
            <w:r w:rsidRPr="00EE5CC3">
              <w:rPr>
                <w:sz w:val="20"/>
                <w:szCs w:val="20"/>
              </w:rPr>
              <w:t>5.07</w:t>
            </w:r>
          </w:p>
        </w:tc>
      </w:tr>
    </w:tbl>
    <w:p w14:paraId="623A3BAD" w14:textId="77777777" w:rsidR="00FF37A0" w:rsidRPr="00FF37A0" w:rsidRDefault="00FF37A0" w:rsidP="00050F11">
      <w:pPr>
        <w:pStyle w:val="Caption"/>
      </w:pPr>
      <w:bookmarkStart w:id="21" w:name="_Toc445239514"/>
      <w:r w:rsidRPr="00FF37A0">
        <w:t xml:space="preserve">Table </w:t>
      </w:r>
      <w:fldSimple w:instr=" STYLEREF 1 \s ">
        <w:r w:rsidR="00567EF1">
          <w:rPr>
            <w:noProof/>
          </w:rPr>
          <w:t>3</w:t>
        </w:r>
      </w:fldSimple>
      <w:r w:rsidRPr="00FF37A0">
        <w:t>.</w:t>
      </w:r>
      <w:fldSimple w:instr=" SEQ Table \* ARABIC \s 1 ">
        <w:r w:rsidRPr="00FF37A0">
          <w:t>6</w:t>
        </w:r>
      </w:fldSimple>
      <w:r w:rsidRPr="00FF37A0">
        <w:t xml:space="preserve"> - </w:t>
      </w:r>
      <w:r w:rsidRPr="00A37617">
        <w:rPr>
          <w:b w:val="0"/>
        </w:rPr>
        <w:t>Importance of transport attributes in determining property value</w:t>
      </w:r>
      <w:bookmarkEnd w:id="21"/>
    </w:p>
    <w:p w14:paraId="6F1038E8" w14:textId="77777777" w:rsidR="00FF37A0" w:rsidRDefault="00FF37A0" w:rsidP="00FF37A0">
      <w:pPr>
        <w:pStyle w:val="Body"/>
      </w:pPr>
    </w:p>
    <w:p w14:paraId="5C640D0C" w14:textId="77777777" w:rsidR="00FF37A0" w:rsidRPr="00EE5CC3" w:rsidRDefault="00FF37A0" w:rsidP="00050F11">
      <w:r w:rsidRPr="00EE5CC3">
        <w:t>Further analysis of the change in modal split for journey to work from the 2011 census in each corridor further revealed evidence about the competitive position of each mode in t</w:t>
      </w:r>
      <w:r w:rsidR="00567EF1">
        <w:t>he city relative to LRT (Table 3</w:t>
      </w:r>
      <w:r w:rsidRPr="00EE5CC3">
        <w:t xml:space="preserve">.7). Despite evidence of car use in the N.E.T corridor decreasing by -7.53% comparable to more modest increases in the control corridor and wider urban area between 2001 and 2011, the average share of private car for trips in 2011 still remains high (21.55%). Interestingly, the statistics suggest that the bus remains more competitive than the tram, even along the tram corridor, accounting for 9.82% of trips, comparable to just 3.33% for the tram. These results highlight that the tram may have a limited attractiveness and competitive position against more conventional modes, even directly within the corridor itself. These findings run counter to research that has identified that perceptions of LRT are significantly greater than bus, which are likely to encourage a ‘step-change’ in patronage over time (PTEG, 2005). Comments made by respondents in the survey emphasised how the limited coverage of the route actually reduces its use and spatial coverage, highlighting why positive modal shifts may have been limited. </w:t>
      </w:r>
    </w:p>
    <w:p w14:paraId="05556D70" w14:textId="77777777" w:rsidR="00FF37A0" w:rsidRDefault="00FF37A0" w:rsidP="00FF37A0">
      <w:pPr>
        <w:pStyle w:val="Body"/>
      </w:pPr>
    </w:p>
    <w:tbl>
      <w:tblPr>
        <w:tblW w:w="7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B9BD5"/>
        <w:tblLayout w:type="fixed"/>
        <w:tblLook w:val="04A0" w:firstRow="1" w:lastRow="0" w:firstColumn="1" w:lastColumn="0" w:noHBand="0" w:noVBand="1"/>
      </w:tblPr>
      <w:tblGrid>
        <w:gridCol w:w="1755"/>
        <w:gridCol w:w="1974"/>
        <w:gridCol w:w="2194"/>
        <w:gridCol w:w="1822"/>
      </w:tblGrid>
      <w:tr w:rsidR="00FF37A0" w14:paraId="62E3F342" w14:textId="77777777" w:rsidTr="00846313">
        <w:trPr>
          <w:trHeight w:val="511"/>
          <w:tblHeader/>
        </w:trPr>
        <w:tc>
          <w:tcPr>
            <w:tcW w:w="1755" w:type="dxa"/>
            <w:shd w:val="clear" w:color="auto" w:fill="323F4F"/>
            <w:tcMar>
              <w:top w:w="0" w:type="dxa"/>
              <w:left w:w="0" w:type="dxa"/>
              <w:bottom w:w="0" w:type="dxa"/>
              <w:right w:w="0" w:type="dxa"/>
            </w:tcMar>
            <w:vAlign w:val="center"/>
          </w:tcPr>
          <w:p w14:paraId="395420A1" w14:textId="77777777" w:rsidR="00FF37A0" w:rsidRPr="00EE5CC3" w:rsidRDefault="00FF37A0" w:rsidP="00647D26">
            <w:pPr>
              <w:pStyle w:val="Body"/>
              <w:jc w:val="center"/>
              <w:rPr>
                <w:color w:val="FFFFFF" w:themeColor="background1"/>
                <w:sz w:val="20"/>
                <w:szCs w:val="20"/>
              </w:rPr>
            </w:pPr>
            <w:r w:rsidRPr="00EE5CC3">
              <w:rPr>
                <w:color w:val="FFFFFF" w:themeColor="background1"/>
                <w:sz w:val="20"/>
                <w:szCs w:val="20"/>
              </w:rPr>
              <w:t>Mode</w:t>
            </w:r>
          </w:p>
        </w:tc>
        <w:tc>
          <w:tcPr>
            <w:tcW w:w="1974" w:type="dxa"/>
            <w:shd w:val="clear" w:color="auto" w:fill="323F4F"/>
            <w:tcMar>
              <w:top w:w="0" w:type="dxa"/>
              <w:left w:w="0" w:type="dxa"/>
              <w:bottom w:w="0" w:type="dxa"/>
              <w:right w:w="0" w:type="dxa"/>
            </w:tcMar>
            <w:vAlign w:val="center"/>
          </w:tcPr>
          <w:p w14:paraId="6B748A24" w14:textId="77777777" w:rsidR="00FF37A0" w:rsidRPr="00EE5CC3" w:rsidRDefault="00FF37A0" w:rsidP="00647D26">
            <w:pPr>
              <w:pStyle w:val="Body"/>
              <w:jc w:val="center"/>
              <w:rPr>
                <w:color w:val="FFFFFF" w:themeColor="background1"/>
                <w:sz w:val="20"/>
                <w:szCs w:val="20"/>
              </w:rPr>
            </w:pPr>
            <w:r w:rsidRPr="00EE5CC3">
              <w:rPr>
                <w:color w:val="FFFFFF" w:themeColor="background1"/>
                <w:sz w:val="20"/>
                <w:szCs w:val="20"/>
              </w:rPr>
              <w:t>N.E.T Route</w:t>
            </w:r>
          </w:p>
        </w:tc>
        <w:tc>
          <w:tcPr>
            <w:tcW w:w="2194" w:type="dxa"/>
            <w:shd w:val="clear" w:color="auto" w:fill="323F4F"/>
            <w:tcMar>
              <w:top w:w="0" w:type="dxa"/>
              <w:left w:w="0" w:type="dxa"/>
              <w:bottom w:w="0" w:type="dxa"/>
              <w:right w:w="0" w:type="dxa"/>
            </w:tcMar>
            <w:vAlign w:val="center"/>
          </w:tcPr>
          <w:p w14:paraId="70E4761F" w14:textId="77777777" w:rsidR="00FF37A0" w:rsidRPr="00EE5CC3" w:rsidRDefault="00FF37A0" w:rsidP="00647D26">
            <w:pPr>
              <w:pStyle w:val="Body"/>
              <w:jc w:val="center"/>
              <w:rPr>
                <w:color w:val="FFFFFF" w:themeColor="background1"/>
                <w:sz w:val="20"/>
                <w:szCs w:val="20"/>
              </w:rPr>
            </w:pPr>
            <w:r w:rsidRPr="00EE5CC3">
              <w:rPr>
                <w:color w:val="FFFFFF" w:themeColor="background1"/>
                <w:sz w:val="20"/>
                <w:szCs w:val="20"/>
              </w:rPr>
              <w:t>Control Route</w:t>
            </w:r>
          </w:p>
        </w:tc>
        <w:tc>
          <w:tcPr>
            <w:tcW w:w="1822" w:type="dxa"/>
            <w:shd w:val="clear" w:color="auto" w:fill="323F4F"/>
            <w:tcMar>
              <w:top w:w="0" w:type="dxa"/>
              <w:left w:w="0" w:type="dxa"/>
              <w:bottom w:w="0" w:type="dxa"/>
              <w:right w:w="0" w:type="dxa"/>
            </w:tcMar>
            <w:vAlign w:val="center"/>
          </w:tcPr>
          <w:p w14:paraId="07946499" w14:textId="77777777" w:rsidR="00FF37A0" w:rsidRPr="00EE5CC3" w:rsidRDefault="00FF37A0" w:rsidP="00647D26">
            <w:pPr>
              <w:pStyle w:val="Body"/>
              <w:jc w:val="center"/>
              <w:rPr>
                <w:color w:val="FFFFFF" w:themeColor="background1"/>
                <w:sz w:val="20"/>
                <w:szCs w:val="20"/>
              </w:rPr>
            </w:pPr>
            <w:r w:rsidRPr="00EE5CC3">
              <w:rPr>
                <w:color w:val="FFFFFF" w:themeColor="background1"/>
                <w:sz w:val="20"/>
                <w:szCs w:val="20"/>
              </w:rPr>
              <w:t>City of Nottingham</w:t>
            </w:r>
          </w:p>
        </w:tc>
      </w:tr>
      <w:tr w:rsidR="00FF37A0" w14:paraId="11531B47" w14:textId="77777777" w:rsidTr="00846313">
        <w:tblPrEx>
          <w:shd w:val="clear" w:color="auto" w:fill="D0DDEF"/>
        </w:tblPrEx>
        <w:trPr>
          <w:trHeight w:val="271"/>
        </w:trPr>
        <w:tc>
          <w:tcPr>
            <w:tcW w:w="7745" w:type="dxa"/>
            <w:gridSpan w:val="4"/>
            <w:shd w:val="clear" w:color="auto" w:fill="323F4F"/>
            <w:tcMar>
              <w:top w:w="0" w:type="dxa"/>
              <w:left w:w="0" w:type="dxa"/>
              <w:bottom w:w="0" w:type="dxa"/>
              <w:right w:w="0" w:type="dxa"/>
            </w:tcMar>
            <w:vAlign w:val="center"/>
          </w:tcPr>
          <w:p w14:paraId="5DF81539" w14:textId="77777777" w:rsidR="00FF37A0" w:rsidRPr="00EE5CC3" w:rsidRDefault="00FF37A0" w:rsidP="00647D26">
            <w:pPr>
              <w:pStyle w:val="Body"/>
              <w:jc w:val="center"/>
              <w:rPr>
                <w:color w:val="FFFFFF" w:themeColor="background1"/>
                <w:sz w:val="20"/>
                <w:szCs w:val="20"/>
              </w:rPr>
            </w:pPr>
            <w:r w:rsidRPr="00EE5CC3">
              <w:rPr>
                <w:color w:val="FFFFFF" w:themeColor="background1"/>
                <w:sz w:val="20"/>
                <w:szCs w:val="20"/>
              </w:rPr>
              <w:t>2001</w:t>
            </w:r>
          </w:p>
        </w:tc>
      </w:tr>
      <w:tr w:rsidR="00FF37A0" w14:paraId="344AB27C" w14:textId="77777777" w:rsidTr="00846313">
        <w:tblPrEx>
          <w:shd w:val="clear" w:color="auto" w:fill="D0DDEF"/>
        </w:tblPrEx>
        <w:trPr>
          <w:trHeight w:val="70"/>
        </w:trPr>
        <w:tc>
          <w:tcPr>
            <w:tcW w:w="1755" w:type="dxa"/>
            <w:shd w:val="clear" w:color="auto" w:fill="auto"/>
            <w:tcMar>
              <w:top w:w="0" w:type="dxa"/>
              <w:left w:w="0" w:type="dxa"/>
              <w:bottom w:w="0" w:type="dxa"/>
              <w:right w:w="0" w:type="dxa"/>
            </w:tcMar>
            <w:vAlign w:val="center"/>
          </w:tcPr>
          <w:p w14:paraId="3C4A3807"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tram</w:t>
            </w:r>
          </w:p>
        </w:tc>
        <w:tc>
          <w:tcPr>
            <w:tcW w:w="1974" w:type="dxa"/>
            <w:shd w:val="clear" w:color="auto" w:fill="E9EEF7"/>
            <w:tcMar>
              <w:top w:w="0" w:type="dxa"/>
              <w:left w:w="0" w:type="dxa"/>
              <w:bottom w:w="0" w:type="dxa"/>
              <w:right w:w="0" w:type="dxa"/>
            </w:tcMar>
            <w:vAlign w:val="center"/>
          </w:tcPr>
          <w:p w14:paraId="06543818" w14:textId="77777777" w:rsidR="00FF37A0" w:rsidRPr="00EE5CC3" w:rsidRDefault="00FF37A0" w:rsidP="00647D26">
            <w:pPr>
              <w:pStyle w:val="Body"/>
              <w:jc w:val="center"/>
              <w:rPr>
                <w:sz w:val="20"/>
                <w:szCs w:val="20"/>
              </w:rPr>
            </w:pPr>
            <w:r w:rsidRPr="00EE5CC3">
              <w:rPr>
                <w:sz w:val="20"/>
                <w:szCs w:val="20"/>
              </w:rPr>
              <w:t>0.03%</w:t>
            </w:r>
          </w:p>
        </w:tc>
        <w:tc>
          <w:tcPr>
            <w:tcW w:w="2194" w:type="dxa"/>
            <w:shd w:val="clear" w:color="auto" w:fill="E9EEF7"/>
            <w:tcMar>
              <w:top w:w="0" w:type="dxa"/>
              <w:left w:w="0" w:type="dxa"/>
              <w:bottom w:w="0" w:type="dxa"/>
              <w:right w:w="0" w:type="dxa"/>
            </w:tcMar>
            <w:vAlign w:val="center"/>
          </w:tcPr>
          <w:p w14:paraId="67F89222" w14:textId="77777777" w:rsidR="00FF37A0" w:rsidRPr="00EE5CC3" w:rsidRDefault="00FF37A0" w:rsidP="00647D26">
            <w:pPr>
              <w:pStyle w:val="Body"/>
              <w:jc w:val="center"/>
              <w:rPr>
                <w:sz w:val="20"/>
                <w:szCs w:val="20"/>
              </w:rPr>
            </w:pPr>
            <w:r w:rsidRPr="00EE5CC3">
              <w:rPr>
                <w:sz w:val="20"/>
                <w:szCs w:val="20"/>
              </w:rPr>
              <w:t>0.02%</w:t>
            </w:r>
          </w:p>
        </w:tc>
        <w:tc>
          <w:tcPr>
            <w:tcW w:w="1822" w:type="dxa"/>
            <w:shd w:val="clear" w:color="auto" w:fill="E9EEF7"/>
            <w:tcMar>
              <w:top w:w="0" w:type="dxa"/>
              <w:left w:w="0" w:type="dxa"/>
              <w:bottom w:w="0" w:type="dxa"/>
              <w:right w:w="0" w:type="dxa"/>
            </w:tcMar>
            <w:vAlign w:val="center"/>
          </w:tcPr>
          <w:p w14:paraId="460B2301" w14:textId="77777777" w:rsidR="00FF37A0" w:rsidRPr="00EE5CC3" w:rsidRDefault="00FF37A0" w:rsidP="00647D26">
            <w:pPr>
              <w:pStyle w:val="Body"/>
              <w:jc w:val="center"/>
              <w:rPr>
                <w:sz w:val="20"/>
                <w:szCs w:val="20"/>
              </w:rPr>
            </w:pPr>
            <w:r w:rsidRPr="00EE5CC3">
              <w:rPr>
                <w:sz w:val="20"/>
                <w:szCs w:val="20"/>
              </w:rPr>
              <w:t>0.05%</w:t>
            </w:r>
          </w:p>
        </w:tc>
      </w:tr>
      <w:tr w:rsidR="00FF37A0" w14:paraId="0D3F490B" w14:textId="77777777" w:rsidTr="00846313">
        <w:tblPrEx>
          <w:shd w:val="clear" w:color="auto" w:fill="D0DDEF"/>
        </w:tblPrEx>
        <w:trPr>
          <w:trHeight w:val="70"/>
        </w:trPr>
        <w:tc>
          <w:tcPr>
            <w:tcW w:w="1755" w:type="dxa"/>
            <w:shd w:val="clear" w:color="auto" w:fill="auto"/>
            <w:tcMar>
              <w:top w:w="0" w:type="dxa"/>
              <w:left w:w="0" w:type="dxa"/>
              <w:bottom w:w="0" w:type="dxa"/>
              <w:right w:w="0" w:type="dxa"/>
            </w:tcMar>
            <w:vAlign w:val="center"/>
          </w:tcPr>
          <w:p w14:paraId="30ADFFB6"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bus</w:t>
            </w:r>
          </w:p>
        </w:tc>
        <w:tc>
          <w:tcPr>
            <w:tcW w:w="1974" w:type="dxa"/>
            <w:shd w:val="clear" w:color="auto" w:fill="D0DDEF"/>
            <w:tcMar>
              <w:top w:w="0" w:type="dxa"/>
              <w:left w:w="0" w:type="dxa"/>
              <w:bottom w:w="0" w:type="dxa"/>
              <w:right w:w="0" w:type="dxa"/>
            </w:tcMar>
            <w:vAlign w:val="center"/>
          </w:tcPr>
          <w:p w14:paraId="1E37B998" w14:textId="77777777" w:rsidR="00FF37A0" w:rsidRPr="00EE5CC3" w:rsidRDefault="00FF37A0" w:rsidP="00647D26">
            <w:pPr>
              <w:pStyle w:val="Body"/>
              <w:jc w:val="center"/>
              <w:rPr>
                <w:sz w:val="20"/>
                <w:szCs w:val="20"/>
              </w:rPr>
            </w:pPr>
            <w:r w:rsidRPr="00EE5CC3">
              <w:rPr>
                <w:sz w:val="20"/>
                <w:szCs w:val="20"/>
              </w:rPr>
              <w:t>7.65%</w:t>
            </w:r>
          </w:p>
        </w:tc>
        <w:tc>
          <w:tcPr>
            <w:tcW w:w="2194" w:type="dxa"/>
            <w:shd w:val="clear" w:color="auto" w:fill="D0DDEF"/>
            <w:tcMar>
              <w:top w:w="0" w:type="dxa"/>
              <w:left w:w="0" w:type="dxa"/>
              <w:bottom w:w="0" w:type="dxa"/>
              <w:right w:w="0" w:type="dxa"/>
            </w:tcMar>
            <w:vAlign w:val="center"/>
          </w:tcPr>
          <w:p w14:paraId="5AD7B2D7" w14:textId="77777777" w:rsidR="00FF37A0" w:rsidRPr="00EE5CC3" w:rsidRDefault="00FF37A0" w:rsidP="00647D26">
            <w:pPr>
              <w:pStyle w:val="Body"/>
              <w:jc w:val="center"/>
              <w:rPr>
                <w:sz w:val="20"/>
                <w:szCs w:val="20"/>
              </w:rPr>
            </w:pPr>
            <w:r w:rsidRPr="00EE5CC3">
              <w:rPr>
                <w:sz w:val="20"/>
                <w:szCs w:val="20"/>
              </w:rPr>
              <w:t>7.56%</w:t>
            </w:r>
          </w:p>
        </w:tc>
        <w:tc>
          <w:tcPr>
            <w:tcW w:w="1822" w:type="dxa"/>
            <w:shd w:val="clear" w:color="auto" w:fill="D0DDEF"/>
            <w:tcMar>
              <w:top w:w="0" w:type="dxa"/>
              <w:left w:w="0" w:type="dxa"/>
              <w:bottom w:w="0" w:type="dxa"/>
              <w:right w:w="0" w:type="dxa"/>
            </w:tcMar>
            <w:vAlign w:val="center"/>
          </w:tcPr>
          <w:p w14:paraId="1FF4CBE8" w14:textId="77777777" w:rsidR="00FF37A0" w:rsidRPr="00EE5CC3" w:rsidRDefault="00FF37A0" w:rsidP="00647D26">
            <w:pPr>
              <w:pStyle w:val="Body"/>
              <w:jc w:val="center"/>
              <w:rPr>
                <w:sz w:val="20"/>
                <w:szCs w:val="20"/>
              </w:rPr>
            </w:pPr>
            <w:r w:rsidRPr="00EE5CC3">
              <w:rPr>
                <w:sz w:val="20"/>
                <w:szCs w:val="20"/>
              </w:rPr>
              <w:t>5.14%</w:t>
            </w:r>
          </w:p>
        </w:tc>
      </w:tr>
      <w:tr w:rsidR="00FF37A0" w14:paraId="086BE3C8" w14:textId="77777777" w:rsidTr="00846313">
        <w:tblPrEx>
          <w:shd w:val="clear" w:color="auto" w:fill="D0DDEF"/>
        </w:tblPrEx>
        <w:trPr>
          <w:trHeight w:val="70"/>
        </w:trPr>
        <w:tc>
          <w:tcPr>
            <w:tcW w:w="1755" w:type="dxa"/>
            <w:shd w:val="clear" w:color="auto" w:fill="auto"/>
            <w:tcMar>
              <w:top w:w="0" w:type="dxa"/>
              <w:left w:w="0" w:type="dxa"/>
              <w:bottom w:w="0" w:type="dxa"/>
              <w:right w:w="0" w:type="dxa"/>
            </w:tcMar>
            <w:vAlign w:val="center"/>
          </w:tcPr>
          <w:p w14:paraId="4FE1E298"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car</w:t>
            </w:r>
          </w:p>
        </w:tc>
        <w:tc>
          <w:tcPr>
            <w:tcW w:w="1974" w:type="dxa"/>
            <w:shd w:val="clear" w:color="auto" w:fill="E9EEF7"/>
            <w:tcMar>
              <w:top w:w="0" w:type="dxa"/>
              <w:left w:w="0" w:type="dxa"/>
              <w:bottom w:w="0" w:type="dxa"/>
              <w:right w:w="0" w:type="dxa"/>
            </w:tcMar>
            <w:vAlign w:val="center"/>
          </w:tcPr>
          <w:p w14:paraId="27BEB285" w14:textId="77777777" w:rsidR="00FF37A0" w:rsidRPr="00EE5CC3" w:rsidRDefault="00FF37A0" w:rsidP="00647D26">
            <w:pPr>
              <w:pStyle w:val="Body"/>
              <w:jc w:val="center"/>
              <w:rPr>
                <w:sz w:val="20"/>
                <w:szCs w:val="20"/>
              </w:rPr>
            </w:pPr>
            <w:r w:rsidRPr="00EE5CC3">
              <w:rPr>
                <w:sz w:val="20"/>
                <w:szCs w:val="20"/>
              </w:rPr>
              <w:t>29.08%</w:t>
            </w:r>
          </w:p>
        </w:tc>
        <w:tc>
          <w:tcPr>
            <w:tcW w:w="2194" w:type="dxa"/>
            <w:shd w:val="clear" w:color="auto" w:fill="E9EEF7"/>
            <w:tcMar>
              <w:top w:w="0" w:type="dxa"/>
              <w:left w:w="0" w:type="dxa"/>
              <w:bottom w:w="0" w:type="dxa"/>
              <w:right w:w="0" w:type="dxa"/>
            </w:tcMar>
            <w:vAlign w:val="center"/>
          </w:tcPr>
          <w:p w14:paraId="59D34EDD" w14:textId="77777777" w:rsidR="00FF37A0" w:rsidRPr="00EE5CC3" w:rsidRDefault="00FF37A0" w:rsidP="00647D26">
            <w:pPr>
              <w:pStyle w:val="Body"/>
              <w:jc w:val="center"/>
              <w:rPr>
                <w:sz w:val="20"/>
                <w:szCs w:val="20"/>
              </w:rPr>
            </w:pPr>
            <w:r w:rsidRPr="00EE5CC3">
              <w:rPr>
                <w:sz w:val="20"/>
                <w:szCs w:val="20"/>
              </w:rPr>
              <w:t>26.64%</w:t>
            </w:r>
          </w:p>
        </w:tc>
        <w:tc>
          <w:tcPr>
            <w:tcW w:w="1822" w:type="dxa"/>
            <w:shd w:val="clear" w:color="auto" w:fill="E9EEF7"/>
            <w:tcMar>
              <w:top w:w="0" w:type="dxa"/>
              <w:left w:w="0" w:type="dxa"/>
              <w:bottom w:w="0" w:type="dxa"/>
              <w:right w:w="0" w:type="dxa"/>
            </w:tcMar>
            <w:vAlign w:val="center"/>
          </w:tcPr>
          <w:p w14:paraId="1A85571E" w14:textId="77777777" w:rsidR="00FF37A0" w:rsidRPr="00EE5CC3" w:rsidRDefault="00FF37A0" w:rsidP="00647D26">
            <w:pPr>
              <w:pStyle w:val="Body"/>
              <w:jc w:val="center"/>
              <w:rPr>
                <w:sz w:val="20"/>
                <w:szCs w:val="20"/>
              </w:rPr>
            </w:pPr>
            <w:r w:rsidRPr="00EE5CC3">
              <w:rPr>
                <w:sz w:val="20"/>
                <w:szCs w:val="20"/>
              </w:rPr>
              <w:t>23.09%</w:t>
            </w:r>
          </w:p>
        </w:tc>
      </w:tr>
      <w:tr w:rsidR="00FF37A0" w14:paraId="5AAE9BC6" w14:textId="77777777" w:rsidTr="00846313">
        <w:tblPrEx>
          <w:shd w:val="clear" w:color="auto" w:fill="D0DDEF"/>
        </w:tblPrEx>
        <w:trPr>
          <w:trHeight w:val="70"/>
        </w:trPr>
        <w:tc>
          <w:tcPr>
            <w:tcW w:w="1755" w:type="dxa"/>
            <w:shd w:val="clear" w:color="auto" w:fill="auto"/>
            <w:tcMar>
              <w:top w:w="0" w:type="dxa"/>
              <w:left w:w="0" w:type="dxa"/>
              <w:bottom w:w="0" w:type="dxa"/>
              <w:right w:w="0" w:type="dxa"/>
            </w:tcMar>
            <w:vAlign w:val="center"/>
          </w:tcPr>
          <w:p w14:paraId="2E0E26E1"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walk</w:t>
            </w:r>
          </w:p>
        </w:tc>
        <w:tc>
          <w:tcPr>
            <w:tcW w:w="1974" w:type="dxa"/>
            <w:shd w:val="clear" w:color="auto" w:fill="D0DDEF"/>
            <w:tcMar>
              <w:top w:w="0" w:type="dxa"/>
              <w:left w:w="0" w:type="dxa"/>
              <w:bottom w:w="0" w:type="dxa"/>
              <w:right w:w="0" w:type="dxa"/>
            </w:tcMar>
            <w:vAlign w:val="center"/>
          </w:tcPr>
          <w:p w14:paraId="6FF65A8E" w14:textId="77777777" w:rsidR="00FF37A0" w:rsidRPr="00EE5CC3" w:rsidRDefault="00FF37A0" w:rsidP="00647D26">
            <w:pPr>
              <w:pStyle w:val="Body"/>
              <w:jc w:val="center"/>
              <w:rPr>
                <w:sz w:val="20"/>
                <w:szCs w:val="20"/>
              </w:rPr>
            </w:pPr>
            <w:r w:rsidRPr="00EE5CC3">
              <w:rPr>
                <w:sz w:val="20"/>
                <w:szCs w:val="20"/>
              </w:rPr>
              <w:t>5.88%</w:t>
            </w:r>
          </w:p>
        </w:tc>
        <w:tc>
          <w:tcPr>
            <w:tcW w:w="2194" w:type="dxa"/>
            <w:shd w:val="clear" w:color="auto" w:fill="D0DDEF"/>
            <w:tcMar>
              <w:top w:w="0" w:type="dxa"/>
              <w:left w:w="0" w:type="dxa"/>
              <w:bottom w:w="0" w:type="dxa"/>
              <w:right w:w="0" w:type="dxa"/>
            </w:tcMar>
            <w:vAlign w:val="center"/>
          </w:tcPr>
          <w:p w14:paraId="58FCEB1A" w14:textId="77777777" w:rsidR="00FF37A0" w:rsidRPr="00EE5CC3" w:rsidRDefault="00FF37A0" w:rsidP="00647D26">
            <w:pPr>
              <w:pStyle w:val="Body"/>
              <w:jc w:val="center"/>
              <w:rPr>
                <w:sz w:val="20"/>
                <w:szCs w:val="20"/>
              </w:rPr>
            </w:pPr>
            <w:r w:rsidRPr="00EE5CC3">
              <w:rPr>
                <w:sz w:val="20"/>
                <w:szCs w:val="20"/>
              </w:rPr>
              <w:t>4.98%</w:t>
            </w:r>
          </w:p>
        </w:tc>
        <w:tc>
          <w:tcPr>
            <w:tcW w:w="1822" w:type="dxa"/>
            <w:shd w:val="clear" w:color="auto" w:fill="D0DDEF"/>
            <w:tcMar>
              <w:top w:w="0" w:type="dxa"/>
              <w:left w:w="0" w:type="dxa"/>
              <w:bottom w:w="0" w:type="dxa"/>
              <w:right w:w="0" w:type="dxa"/>
            </w:tcMar>
            <w:vAlign w:val="center"/>
          </w:tcPr>
          <w:p w14:paraId="79D42579" w14:textId="77777777" w:rsidR="00FF37A0" w:rsidRPr="00EE5CC3" w:rsidRDefault="00FF37A0" w:rsidP="00647D26">
            <w:pPr>
              <w:pStyle w:val="Body"/>
              <w:jc w:val="center"/>
              <w:rPr>
                <w:sz w:val="20"/>
                <w:szCs w:val="20"/>
              </w:rPr>
            </w:pPr>
            <w:r w:rsidRPr="00EE5CC3">
              <w:rPr>
                <w:sz w:val="20"/>
                <w:szCs w:val="20"/>
              </w:rPr>
              <w:t>4.80%</w:t>
            </w:r>
          </w:p>
        </w:tc>
      </w:tr>
      <w:tr w:rsidR="00FF37A0" w14:paraId="0DC9AE3C" w14:textId="77777777" w:rsidTr="00846313">
        <w:tblPrEx>
          <w:shd w:val="clear" w:color="auto" w:fill="D0DDEF"/>
        </w:tblPrEx>
        <w:trPr>
          <w:trHeight w:val="248"/>
        </w:trPr>
        <w:tc>
          <w:tcPr>
            <w:tcW w:w="7745" w:type="dxa"/>
            <w:gridSpan w:val="4"/>
            <w:shd w:val="clear" w:color="auto" w:fill="323F4F"/>
            <w:tcMar>
              <w:top w:w="0" w:type="dxa"/>
              <w:left w:w="0" w:type="dxa"/>
              <w:bottom w:w="0" w:type="dxa"/>
              <w:right w:w="0" w:type="dxa"/>
            </w:tcMar>
            <w:vAlign w:val="center"/>
          </w:tcPr>
          <w:p w14:paraId="779AEED7" w14:textId="77777777" w:rsidR="00FF37A0" w:rsidRPr="00EE5CC3" w:rsidRDefault="00FF37A0" w:rsidP="00647D26">
            <w:pPr>
              <w:pStyle w:val="Body"/>
              <w:jc w:val="center"/>
              <w:rPr>
                <w:color w:val="000000" w:themeColor="text1"/>
                <w:sz w:val="20"/>
                <w:szCs w:val="20"/>
              </w:rPr>
            </w:pPr>
            <w:r w:rsidRPr="00EE5CC3">
              <w:rPr>
                <w:color w:val="FFFFFF" w:themeColor="background1"/>
                <w:sz w:val="20"/>
                <w:szCs w:val="20"/>
              </w:rPr>
              <w:t>2011</w:t>
            </w:r>
          </w:p>
        </w:tc>
      </w:tr>
      <w:tr w:rsidR="00FF37A0" w14:paraId="0AA1C3FA" w14:textId="77777777" w:rsidTr="00846313">
        <w:tblPrEx>
          <w:shd w:val="clear" w:color="auto" w:fill="D0DDEF"/>
        </w:tblPrEx>
        <w:trPr>
          <w:trHeight w:val="70"/>
        </w:trPr>
        <w:tc>
          <w:tcPr>
            <w:tcW w:w="1755" w:type="dxa"/>
            <w:shd w:val="clear" w:color="auto" w:fill="auto"/>
            <w:tcMar>
              <w:top w:w="0" w:type="dxa"/>
              <w:left w:w="0" w:type="dxa"/>
              <w:bottom w:w="0" w:type="dxa"/>
              <w:right w:w="0" w:type="dxa"/>
            </w:tcMar>
            <w:vAlign w:val="center"/>
          </w:tcPr>
          <w:p w14:paraId="0D2DFEA7"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tram</w:t>
            </w:r>
          </w:p>
        </w:tc>
        <w:tc>
          <w:tcPr>
            <w:tcW w:w="1974" w:type="dxa"/>
            <w:shd w:val="clear" w:color="auto" w:fill="D0DDEF"/>
            <w:tcMar>
              <w:top w:w="0" w:type="dxa"/>
              <w:left w:w="0" w:type="dxa"/>
              <w:bottom w:w="0" w:type="dxa"/>
              <w:right w:w="0" w:type="dxa"/>
            </w:tcMar>
            <w:vAlign w:val="center"/>
          </w:tcPr>
          <w:p w14:paraId="388F11C1" w14:textId="77777777" w:rsidR="00FF37A0" w:rsidRPr="00EE5CC3" w:rsidRDefault="00FF37A0" w:rsidP="00647D26">
            <w:pPr>
              <w:pStyle w:val="Body"/>
              <w:jc w:val="center"/>
              <w:rPr>
                <w:sz w:val="20"/>
                <w:szCs w:val="20"/>
              </w:rPr>
            </w:pPr>
            <w:r w:rsidRPr="00EE5CC3">
              <w:rPr>
                <w:sz w:val="20"/>
                <w:szCs w:val="20"/>
              </w:rPr>
              <w:t>3.33%</w:t>
            </w:r>
          </w:p>
        </w:tc>
        <w:tc>
          <w:tcPr>
            <w:tcW w:w="2194" w:type="dxa"/>
            <w:shd w:val="clear" w:color="auto" w:fill="D0DDEF"/>
            <w:tcMar>
              <w:top w:w="0" w:type="dxa"/>
              <w:left w:w="0" w:type="dxa"/>
              <w:bottom w:w="0" w:type="dxa"/>
              <w:right w:w="0" w:type="dxa"/>
            </w:tcMar>
            <w:vAlign w:val="center"/>
          </w:tcPr>
          <w:p w14:paraId="63A8DEB8" w14:textId="77777777" w:rsidR="00FF37A0" w:rsidRPr="00EE5CC3" w:rsidRDefault="00FF37A0" w:rsidP="00647D26">
            <w:pPr>
              <w:pStyle w:val="Body"/>
              <w:jc w:val="center"/>
              <w:rPr>
                <w:sz w:val="20"/>
                <w:szCs w:val="20"/>
              </w:rPr>
            </w:pPr>
            <w:r w:rsidRPr="00EE5CC3">
              <w:rPr>
                <w:sz w:val="20"/>
                <w:szCs w:val="20"/>
              </w:rPr>
              <w:t>0.92%</w:t>
            </w:r>
          </w:p>
        </w:tc>
        <w:tc>
          <w:tcPr>
            <w:tcW w:w="1822" w:type="dxa"/>
            <w:shd w:val="clear" w:color="auto" w:fill="D0DDEF"/>
            <w:tcMar>
              <w:top w:w="0" w:type="dxa"/>
              <w:left w:w="0" w:type="dxa"/>
              <w:bottom w:w="0" w:type="dxa"/>
              <w:right w:w="0" w:type="dxa"/>
            </w:tcMar>
            <w:vAlign w:val="center"/>
          </w:tcPr>
          <w:p w14:paraId="60752F3B" w14:textId="77777777" w:rsidR="00FF37A0" w:rsidRPr="00EE5CC3" w:rsidRDefault="00FF37A0" w:rsidP="00647D26">
            <w:pPr>
              <w:pStyle w:val="Body"/>
              <w:jc w:val="center"/>
              <w:rPr>
                <w:sz w:val="20"/>
                <w:szCs w:val="20"/>
              </w:rPr>
            </w:pPr>
            <w:r w:rsidRPr="00EE5CC3">
              <w:rPr>
                <w:sz w:val="20"/>
                <w:szCs w:val="20"/>
              </w:rPr>
              <w:t>1.15%</w:t>
            </w:r>
          </w:p>
        </w:tc>
      </w:tr>
      <w:tr w:rsidR="00FF37A0" w14:paraId="7B837012" w14:textId="77777777" w:rsidTr="00846313">
        <w:tblPrEx>
          <w:shd w:val="clear" w:color="auto" w:fill="D0DDEF"/>
        </w:tblPrEx>
        <w:trPr>
          <w:trHeight w:val="86"/>
        </w:trPr>
        <w:tc>
          <w:tcPr>
            <w:tcW w:w="1755" w:type="dxa"/>
            <w:shd w:val="clear" w:color="auto" w:fill="auto"/>
            <w:tcMar>
              <w:top w:w="0" w:type="dxa"/>
              <w:left w:w="0" w:type="dxa"/>
              <w:bottom w:w="0" w:type="dxa"/>
              <w:right w:w="0" w:type="dxa"/>
            </w:tcMar>
            <w:vAlign w:val="center"/>
          </w:tcPr>
          <w:p w14:paraId="7AE8039E"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bus</w:t>
            </w:r>
          </w:p>
        </w:tc>
        <w:tc>
          <w:tcPr>
            <w:tcW w:w="1974" w:type="dxa"/>
            <w:shd w:val="clear" w:color="auto" w:fill="E9EEF7"/>
            <w:tcMar>
              <w:top w:w="0" w:type="dxa"/>
              <w:left w:w="0" w:type="dxa"/>
              <w:bottom w:w="0" w:type="dxa"/>
              <w:right w:w="0" w:type="dxa"/>
            </w:tcMar>
            <w:vAlign w:val="center"/>
          </w:tcPr>
          <w:p w14:paraId="31DFAE46" w14:textId="77777777" w:rsidR="00FF37A0" w:rsidRPr="00EE5CC3" w:rsidRDefault="00FF37A0" w:rsidP="00647D26">
            <w:pPr>
              <w:pStyle w:val="Body"/>
              <w:jc w:val="center"/>
              <w:rPr>
                <w:sz w:val="20"/>
                <w:szCs w:val="20"/>
              </w:rPr>
            </w:pPr>
            <w:r w:rsidRPr="00EE5CC3">
              <w:rPr>
                <w:sz w:val="20"/>
                <w:szCs w:val="20"/>
              </w:rPr>
              <w:t>9.82%</w:t>
            </w:r>
          </w:p>
        </w:tc>
        <w:tc>
          <w:tcPr>
            <w:tcW w:w="2194" w:type="dxa"/>
            <w:shd w:val="clear" w:color="auto" w:fill="E9EEF7"/>
            <w:tcMar>
              <w:top w:w="0" w:type="dxa"/>
              <w:left w:w="0" w:type="dxa"/>
              <w:bottom w:w="0" w:type="dxa"/>
              <w:right w:w="0" w:type="dxa"/>
            </w:tcMar>
            <w:vAlign w:val="center"/>
          </w:tcPr>
          <w:p w14:paraId="6D2D803B" w14:textId="77777777" w:rsidR="00FF37A0" w:rsidRPr="00EE5CC3" w:rsidRDefault="00FF37A0" w:rsidP="00647D26">
            <w:pPr>
              <w:pStyle w:val="Body"/>
              <w:jc w:val="center"/>
              <w:rPr>
                <w:sz w:val="20"/>
                <w:szCs w:val="20"/>
              </w:rPr>
            </w:pPr>
            <w:r w:rsidRPr="00EE5CC3">
              <w:rPr>
                <w:sz w:val="20"/>
                <w:szCs w:val="20"/>
              </w:rPr>
              <w:t>12.93%</w:t>
            </w:r>
          </w:p>
        </w:tc>
        <w:tc>
          <w:tcPr>
            <w:tcW w:w="1822" w:type="dxa"/>
            <w:shd w:val="clear" w:color="auto" w:fill="E9EEF7"/>
            <w:tcMar>
              <w:top w:w="0" w:type="dxa"/>
              <w:left w:w="0" w:type="dxa"/>
              <w:bottom w:w="0" w:type="dxa"/>
              <w:right w:w="0" w:type="dxa"/>
            </w:tcMar>
            <w:vAlign w:val="center"/>
          </w:tcPr>
          <w:p w14:paraId="059D383F" w14:textId="77777777" w:rsidR="00FF37A0" w:rsidRPr="00EE5CC3" w:rsidRDefault="00FF37A0" w:rsidP="00647D26">
            <w:pPr>
              <w:pStyle w:val="Body"/>
              <w:jc w:val="center"/>
              <w:rPr>
                <w:sz w:val="20"/>
                <w:szCs w:val="20"/>
              </w:rPr>
            </w:pPr>
            <w:r w:rsidRPr="00EE5CC3">
              <w:rPr>
                <w:sz w:val="20"/>
                <w:szCs w:val="20"/>
              </w:rPr>
              <w:t>11.19%</w:t>
            </w:r>
          </w:p>
        </w:tc>
      </w:tr>
      <w:tr w:rsidR="00FF37A0" w14:paraId="7CFC90BD" w14:textId="77777777" w:rsidTr="00846313">
        <w:tblPrEx>
          <w:shd w:val="clear" w:color="auto" w:fill="D0DDEF"/>
        </w:tblPrEx>
        <w:trPr>
          <w:trHeight w:val="70"/>
        </w:trPr>
        <w:tc>
          <w:tcPr>
            <w:tcW w:w="1755" w:type="dxa"/>
            <w:shd w:val="clear" w:color="auto" w:fill="auto"/>
            <w:tcMar>
              <w:top w:w="0" w:type="dxa"/>
              <w:left w:w="0" w:type="dxa"/>
              <w:bottom w:w="0" w:type="dxa"/>
              <w:right w:w="0" w:type="dxa"/>
            </w:tcMar>
            <w:vAlign w:val="center"/>
          </w:tcPr>
          <w:p w14:paraId="7C6F62AA"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car</w:t>
            </w:r>
          </w:p>
        </w:tc>
        <w:tc>
          <w:tcPr>
            <w:tcW w:w="1974" w:type="dxa"/>
            <w:shd w:val="clear" w:color="auto" w:fill="D0DDEF"/>
            <w:tcMar>
              <w:top w:w="0" w:type="dxa"/>
              <w:left w:w="0" w:type="dxa"/>
              <w:bottom w:w="0" w:type="dxa"/>
              <w:right w:w="0" w:type="dxa"/>
            </w:tcMar>
            <w:vAlign w:val="center"/>
          </w:tcPr>
          <w:p w14:paraId="582904F9" w14:textId="77777777" w:rsidR="00FF37A0" w:rsidRPr="00EE5CC3" w:rsidRDefault="00FF37A0" w:rsidP="00647D26">
            <w:pPr>
              <w:pStyle w:val="Body"/>
              <w:jc w:val="center"/>
              <w:rPr>
                <w:sz w:val="20"/>
                <w:szCs w:val="20"/>
              </w:rPr>
            </w:pPr>
            <w:r w:rsidRPr="00EE5CC3">
              <w:rPr>
                <w:sz w:val="20"/>
                <w:szCs w:val="20"/>
              </w:rPr>
              <w:t>21.55%</w:t>
            </w:r>
          </w:p>
        </w:tc>
        <w:tc>
          <w:tcPr>
            <w:tcW w:w="2194" w:type="dxa"/>
            <w:shd w:val="clear" w:color="auto" w:fill="D0DDEF"/>
            <w:tcMar>
              <w:top w:w="0" w:type="dxa"/>
              <w:left w:w="0" w:type="dxa"/>
              <w:bottom w:w="0" w:type="dxa"/>
              <w:right w:w="0" w:type="dxa"/>
            </w:tcMar>
            <w:vAlign w:val="center"/>
          </w:tcPr>
          <w:p w14:paraId="38B0AFFB" w14:textId="77777777" w:rsidR="00FF37A0" w:rsidRPr="00EE5CC3" w:rsidRDefault="00FF37A0" w:rsidP="00647D26">
            <w:pPr>
              <w:pStyle w:val="Body"/>
              <w:jc w:val="center"/>
              <w:rPr>
                <w:sz w:val="20"/>
                <w:szCs w:val="20"/>
              </w:rPr>
            </w:pPr>
            <w:r w:rsidRPr="00EE5CC3">
              <w:rPr>
                <w:sz w:val="20"/>
                <w:szCs w:val="20"/>
              </w:rPr>
              <w:t>26.46%</w:t>
            </w:r>
          </w:p>
        </w:tc>
        <w:tc>
          <w:tcPr>
            <w:tcW w:w="1822" w:type="dxa"/>
            <w:shd w:val="clear" w:color="auto" w:fill="D0DDEF"/>
            <w:tcMar>
              <w:top w:w="0" w:type="dxa"/>
              <w:left w:w="0" w:type="dxa"/>
              <w:bottom w:w="0" w:type="dxa"/>
              <w:right w:w="0" w:type="dxa"/>
            </w:tcMar>
            <w:vAlign w:val="center"/>
          </w:tcPr>
          <w:p w14:paraId="6D5BFCC2" w14:textId="77777777" w:rsidR="00FF37A0" w:rsidRPr="00EE5CC3" w:rsidRDefault="00FF37A0" w:rsidP="00647D26">
            <w:pPr>
              <w:pStyle w:val="Body"/>
              <w:jc w:val="center"/>
              <w:rPr>
                <w:sz w:val="20"/>
                <w:szCs w:val="20"/>
              </w:rPr>
            </w:pPr>
            <w:r w:rsidRPr="00EE5CC3">
              <w:rPr>
                <w:sz w:val="20"/>
                <w:szCs w:val="20"/>
              </w:rPr>
              <w:t>25.97%</w:t>
            </w:r>
          </w:p>
        </w:tc>
      </w:tr>
      <w:tr w:rsidR="00FF37A0" w14:paraId="11CF163D" w14:textId="77777777" w:rsidTr="00846313">
        <w:tblPrEx>
          <w:shd w:val="clear" w:color="auto" w:fill="D0DDEF"/>
        </w:tblPrEx>
        <w:trPr>
          <w:trHeight w:val="70"/>
        </w:trPr>
        <w:tc>
          <w:tcPr>
            <w:tcW w:w="1755" w:type="dxa"/>
            <w:shd w:val="clear" w:color="auto" w:fill="auto"/>
            <w:tcMar>
              <w:top w:w="0" w:type="dxa"/>
              <w:left w:w="0" w:type="dxa"/>
              <w:bottom w:w="0" w:type="dxa"/>
              <w:right w:w="0" w:type="dxa"/>
            </w:tcMar>
            <w:vAlign w:val="center"/>
          </w:tcPr>
          <w:p w14:paraId="0049A304"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walk</w:t>
            </w:r>
          </w:p>
        </w:tc>
        <w:tc>
          <w:tcPr>
            <w:tcW w:w="1974" w:type="dxa"/>
            <w:shd w:val="clear" w:color="auto" w:fill="E9EEF7"/>
            <w:tcMar>
              <w:top w:w="0" w:type="dxa"/>
              <w:left w:w="0" w:type="dxa"/>
              <w:bottom w:w="0" w:type="dxa"/>
              <w:right w:w="0" w:type="dxa"/>
            </w:tcMar>
            <w:vAlign w:val="center"/>
          </w:tcPr>
          <w:p w14:paraId="23FF89C6" w14:textId="77777777" w:rsidR="00FF37A0" w:rsidRPr="00EE5CC3" w:rsidRDefault="00FF37A0" w:rsidP="00647D26">
            <w:pPr>
              <w:pStyle w:val="Body"/>
              <w:jc w:val="center"/>
              <w:rPr>
                <w:sz w:val="20"/>
                <w:szCs w:val="20"/>
              </w:rPr>
            </w:pPr>
            <w:r w:rsidRPr="00EE5CC3">
              <w:rPr>
                <w:sz w:val="20"/>
                <w:szCs w:val="20"/>
              </w:rPr>
              <w:t>9.33%</w:t>
            </w:r>
          </w:p>
        </w:tc>
        <w:tc>
          <w:tcPr>
            <w:tcW w:w="2194" w:type="dxa"/>
            <w:shd w:val="clear" w:color="auto" w:fill="E9EEF7"/>
            <w:tcMar>
              <w:top w:w="0" w:type="dxa"/>
              <w:left w:w="0" w:type="dxa"/>
              <w:bottom w:w="0" w:type="dxa"/>
              <w:right w:w="0" w:type="dxa"/>
            </w:tcMar>
            <w:vAlign w:val="center"/>
          </w:tcPr>
          <w:p w14:paraId="1D55490D" w14:textId="77777777" w:rsidR="00FF37A0" w:rsidRPr="00EE5CC3" w:rsidRDefault="00FF37A0" w:rsidP="00647D26">
            <w:pPr>
              <w:pStyle w:val="Body"/>
              <w:jc w:val="center"/>
              <w:rPr>
                <w:sz w:val="20"/>
                <w:szCs w:val="20"/>
              </w:rPr>
            </w:pPr>
            <w:r w:rsidRPr="00EE5CC3">
              <w:rPr>
                <w:sz w:val="20"/>
                <w:szCs w:val="20"/>
              </w:rPr>
              <w:t>9.16%</w:t>
            </w:r>
          </w:p>
        </w:tc>
        <w:tc>
          <w:tcPr>
            <w:tcW w:w="1822" w:type="dxa"/>
            <w:shd w:val="clear" w:color="auto" w:fill="E9EEF7"/>
            <w:tcMar>
              <w:top w:w="0" w:type="dxa"/>
              <w:left w:w="0" w:type="dxa"/>
              <w:bottom w:w="0" w:type="dxa"/>
              <w:right w:w="0" w:type="dxa"/>
            </w:tcMar>
            <w:vAlign w:val="center"/>
          </w:tcPr>
          <w:p w14:paraId="6BE02A99" w14:textId="77777777" w:rsidR="00FF37A0" w:rsidRPr="00EE5CC3" w:rsidRDefault="00FF37A0" w:rsidP="00647D26">
            <w:pPr>
              <w:pStyle w:val="Body"/>
              <w:jc w:val="center"/>
              <w:rPr>
                <w:sz w:val="20"/>
                <w:szCs w:val="20"/>
              </w:rPr>
            </w:pPr>
            <w:r w:rsidRPr="00EE5CC3">
              <w:rPr>
                <w:sz w:val="20"/>
                <w:szCs w:val="20"/>
              </w:rPr>
              <w:t>8.31%</w:t>
            </w:r>
          </w:p>
        </w:tc>
      </w:tr>
      <w:tr w:rsidR="00FF37A0" w14:paraId="77FA29B6" w14:textId="77777777" w:rsidTr="00846313">
        <w:tblPrEx>
          <w:shd w:val="clear" w:color="auto" w:fill="D0DDEF"/>
        </w:tblPrEx>
        <w:trPr>
          <w:trHeight w:val="248"/>
        </w:trPr>
        <w:tc>
          <w:tcPr>
            <w:tcW w:w="7745" w:type="dxa"/>
            <w:gridSpan w:val="4"/>
            <w:shd w:val="clear" w:color="auto" w:fill="323F4F"/>
            <w:tcMar>
              <w:top w:w="0" w:type="dxa"/>
              <w:left w:w="0" w:type="dxa"/>
              <w:bottom w:w="0" w:type="dxa"/>
              <w:right w:w="0" w:type="dxa"/>
            </w:tcMar>
            <w:vAlign w:val="center"/>
          </w:tcPr>
          <w:p w14:paraId="5094CFF1" w14:textId="77777777" w:rsidR="00FF37A0" w:rsidRPr="00EE5CC3" w:rsidRDefault="00FF37A0" w:rsidP="00647D26">
            <w:pPr>
              <w:pStyle w:val="Body"/>
              <w:jc w:val="center"/>
              <w:rPr>
                <w:sz w:val="20"/>
                <w:szCs w:val="20"/>
              </w:rPr>
            </w:pPr>
            <w:r w:rsidRPr="00EE5CC3">
              <w:rPr>
                <w:color w:val="FFFFFF" w:themeColor="background1"/>
                <w:sz w:val="20"/>
                <w:szCs w:val="20"/>
              </w:rPr>
              <w:t>Change 2001 - 2011</w:t>
            </w:r>
          </w:p>
        </w:tc>
      </w:tr>
      <w:tr w:rsidR="00FF37A0" w14:paraId="52C299A0" w14:textId="77777777" w:rsidTr="00846313">
        <w:tblPrEx>
          <w:shd w:val="clear" w:color="auto" w:fill="D0DDEF"/>
        </w:tblPrEx>
        <w:trPr>
          <w:trHeight w:val="70"/>
        </w:trPr>
        <w:tc>
          <w:tcPr>
            <w:tcW w:w="1755" w:type="dxa"/>
            <w:shd w:val="clear" w:color="auto" w:fill="auto"/>
            <w:tcMar>
              <w:top w:w="0" w:type="dxa"/>
              <w:left w:w="0" w:type="dxa"/>
              <w:bottom w:w="0" w:type="dxa"/>
              <w:right w:w="0" w:type="dxa"/>
            </w:tcMar>
            <w:vAlign w:val="center"/>
          </w:tcPr>
          <w:p w14:paraId="531F312A"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tram</w:t>
            </w:r>
          </w:p>
        </w:tc>
        <w:tc>
          <w:tcPr>
            <w:tcW w:w="1974" w:type="dxa"/>
            <w:shd w:val="clear" w:color="auto" w:fill="AFE489"/>
            <w:tcMar>
              <w:top w:w="0" w:type="dxa"/>
              <w:left w:w="0" w:type="dxa"/>
              <w:bottom w:w="0" w:type="dxa"/>
              <w:right w:w="0" w:type="dxa"/>
            </w:tcMar>
            <w:vAlign w:val="center"/>
          </w:tcPr>
          <w:p w14:paraId="6EADF072"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(B8-B3)*100 \# "0.00%" \* MERGEFORMAT</w:instrText>
            </w:r>
            <w:r w:rsidRPr="00EE5CC3">
              <w:rPr>
                <w:sz w:val="20"/>
                <w:szCs w:val="20"/>
              </w:rPr>
              <w:fldChar w:fldCharType="separate"/>
            </w:r>
            <w:r w:rsidRPr="00EE5CC3">
              <w:rPr>
                <w:sz w:val="20"/>
                <w:szCs w:val="20"/>
              </w:rPr>
              <w:t>3.30%</w:t>
            </w:r>
            <w:r w:rsidRPr="00EE5CC3">
              <w:rPr>
                <w:sz w:val="20"/>
                <w:szCs w:val="20"/>
              </w:rPr>
              <w:fldChar w:fldCharType="end"/>
            </w:r>
          </w:p>
        </w:tc>
        <w:tc>
          <w:tcPr>
            <w:tcW w:w="2194" w:type="dxa"/>
            <w:shd w:val="clear" w:color="auto" w:fill="AFE489"/>
            <w:tcMar>
              <w:top w:w="0" w:type="dxa"/>
              <w:left w:w="0" w:type="dxa"/>
              <w:bottom w:w="0" w:type="dxa"/>
              <w:right w:w="0" w:type="dxa"/>
            </w:tcMar>
            <w:vAlign w:val="center"/>
          </w:tcPr>
          <w:p w14:paraId="21EE3D9A"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(C8-C3)*100 \# "0.00%" \* MERGEFORMAT</w:instrText>
            </w:r>
            <w:r w:rsidRPr="00EE5CC3">
              <w:rPr>
                <w:sz w:val="20"/>
                <w:szCs w:val="20"/>
              </w:rPr>
              <w:fldChar w:fldCharType="separate"/>
            </w:r>
            <w:r w:rsidRPr="00EE5CC3">
              <w:rPr>
                <w:sz w:val="20"/>
                <w:szCs w:val="20"/>
              </w:rPr>
              <w:t>0.90%</w:t>
            </w:r>
            <w:r w:rsidRPr="00EE5CC3">
              <w:rPr>
                <w:sz w:val="20"/>
                <w:szCs w:val="20"/>
              </w:rPr>
              <w:fldChar w:fldCharType="end"/>
            </w:r>
          </w:p>
        </w:tc>
        <w:tc>
          <w:tcPr>
            <w:tcW w:w="1822" w:type="dxa"/>
            <w:shd w:val="clear" w:color="auto" w:fill="AFE489"/>
            <w:tcMar>
              <w:top w:w="0" w:type="dxa"/>
              <w:left w:w="0" w:type="dxa"/>
              <w:bottom w:w="0" w:type="dxa"/>
              <w:right w:w="0" w:type="dxa"/>
            </w:tcMar>
            <w:vAlign w:val="center"/>
          </w:tcPr>
          <w:p w14:paraId="4BBDFDE8"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(D8-D3)*100 \# "0.00%" \* MERGEFORMAT</w:instrText>
            </w:r>
            <w:r w:rsidRPr="00EE5CC3">
              <w:rPr>
                <w:sz w:val="20"/>
                <w:szCs w:val="20"/>
              </w:rPr>
              <w:fldChar w:fldCharType="separate"/>
            </w:r>
            <w:r w:rsidRPr="00EE5CC3">
              <w:rPr>
                <w:sz w:val="20"/>
                <w:szCs w:val="20"/>
              </w:rPr>
              <w:t>1.10%</w:t>
            </w:r>
            <w:r w:rsidRPr="00EE5CC3">
              <w:rPr>
                <w:sz w:val="20"/>
                <w:szCs w:val="20"/>
              </w:rPr>
              <w:fldChar w:fldCharType="end"/>
            </w:r>
          </w:p>
        </w:tc>
      </w:tr>
      <w:tr w:rsidR="00FF37A0" w14:paraId="676A5EBE" w14:textId="77777777" w:rsidTr="00846313">
        <w:tblPrEx>
          <w:shd w:val="clear" w:color="auto" w:fill="D0DDEF"/>
        </w:tblPrEx>
        <w:trPr>
          <w:trHeight w:val="70"/>
        </w:trPr>
        <w:tc>
          <w:tcPr>
            <w:tcW w:w="1755" w:type="dxa"/>
            <w:shd w:val="clear" w:color="auto" w:fill="auto"/>
            <w:tcMar>
              <w:top w:w="0" w:type="dxa"/>
              <w:left w:w="0" w:type="dxa"/>
              <w:bottom w:w="0" w:type="dxa"/>
              <w:right w:w="0" w:type="dxa"/>
            </w:tcMar>
            <w:vAlign w:val="center"/>
          </w:tcPr>
          <w:p w14:paraId="0E8C81FE"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bus</w:t>
            </w:r>
          </w:p>
        </w:tc>
        <w:tc>
          <w:tcPr>
            <w:tcW w:w="1974" w:type="dxa"/>
            <w:shd w:val="clear" w:color="auto" w:fill="AFE489"/>
            <w:tcMar>
              <w:top w:w="0" w:type="dxa"/>
              <w:left w:w="0" w:type="dxa"/>
              <w:bottom w:w="0" w:type="dxa"/>
              <w:right w:w="0" w:type="dxa"/>
            </w:tcMar>
            <w:vAlign w:val="center"/>
          </w:tcPr>
          <w:p w14:paraId="3F63B235"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(B9-B4)*100 \# "0%" \* MERGEFORMAT</w:instrText>
            </w:r>
            <w:r w:rsidRPr="00EE5CC3">
              <w:rPr>
                <w:sz w:val="20"/>
                <w:szCs w:val="20"/>
              </w:rPr>
              <w:fldChar w:fldCharType="separate"/>
            </w:r>
            <w:r w:rsidRPr="00EE5CC3">
              <w:rPr>
                <w:sz w:val="20"/>
                <w:szCs w:val="20"/>
              </w:rPr>
              <w:t>2.17%</w:t>
            </w:r>
            <w:r w:rsidRPr="00EE5CC3">
              <w:rPr>
                <w:sz w:val="20"/>
                <w:szCs w:val="20"/>
              </w:rPr>
              <w:fldChar w:fldCharType="end"/>
            </w:r>
          </w:p>
        </w:tc>
        <w:tc>
          <w:tcPr>
            <w:tcW w:w="2194" w:type="dxa"/>
            <w:shd w:val="clear" w:color="auto" w:fill="AFE489"/>
            <w:tcMar>
              <w:top w:w="0" w:type="dxa"/>
              <w:left w:w="0" w:type="dxa"/>
              <w:bottom w:w="0" w:type="dxa"/>
              <w:right w:w="0" w:type="dxa"/>
            </w:tcMar>
            <w:vAlign w:val="center"/>
          </w:tcPr>
          <w:p w14:paraId="6EB87949"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(C9-C4)*100 \# "0%" \* MERGEFORMAT</w:instrText>
            </w:r>
            <w:r w:rsidRPr="00EE5CC3">
              <w:rPr>
                <w:sz w:val="20"/>
                <w:szCs w:val="20"/>
              </w:rPr>
              <w:fldChar w:fldCharType="separate"/>
            </w:r>
            <w:r w:rsidRPr="00EE5CC3">
              <w:rPr>
                <w:sz w:val="20"/>
                <w:szCs w:val="20"/>
              </w:rPr>
              <w:t>5.37%</w:t>
            </w:r>
            <w:r w:rsidRPr="00EE5CC3">
              <w:rPr>
                <w:sz w:val="20"/>
                <w:szCs w:val="20"/>
              </w:rPr>
              <w:fldChar w:fldCharType="end"/>
            </w:r>
          </w:p>
        </w:tc>
        <w:tc>
          <w:tcPr>
            <w:tcW w:w="1822" w:type="dxa"/>
            <w:shd w:val="clear" w:color="auto" w:fill="AFE489"/>
            <w:tcMar>
              <w:top w:w="0" w:type="dxa"/>
              <w:left w:w="0" w:type="dxa"/>
              <w:bottom w:w="0" w:type="dxa"/>
              <w:right w:w="0" w:type="dxa"/>
            </w:tcMar>
            <w:vAlign w:val="center"/>
          </w:tcPr>
          <w:p w14:paraId="3611E426"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(D9-D4)*100 \# "0%" \* MERGEFORMAT</w:instrText>
            </w:r>
            <w:r w:rsidRPr="00EE5CC3">
              <w:rPr>
                <w:sz w:val="20"/>
                <w:szCs w:val="20"/>
              </w:rPr>
              <w:fldChar w:fldCharType="separate"/>
            </w:r>
            <w:r w:rsidRPr="00EE5CC3">
              <w:rPr>
                <w:sz w:val="20"/>
                <w:szCs w:val="20"/>
              </w:rPr>
              <w:t>6.05%</w:t>
            </w:r>
            <w:r w:rsidRPr="00EE5CC3">
              <w:rPr>
                <w:sz w:val="20"/>
                <w:szCs w:val="20"/>
              </w:rPr>
              <w:fldChar w:fldCharType="end"/>
            </w:r>
          </w:p>
        </w:tc>
      </w:tr>
      <w:tr w:rsidR="00FF37A0" w14:paraId="29B7D3A5" w14:textId="77777777" w:rsidTr="00846313">
        <w:tblPrEx>
          <w:shd w:val="clear" w:color="auto" w:fill="D0DDEF"/>
        </w:tblPrEx>
        <w:trPr>
          <w:trHeight w:val="70"/>
        </w:trPr>
        <w:tc>
          <w:tcPr>
            <w:tcW w:w="1755" w:type="dxa"/>
            <w:shd w:val="clear" w:color="auto" w:fill="auto"/>
            <w:tcMar>
              <w:top w:w="0" w:type="dxa"/>
              <w:left w:w="0" w:type="dxa"/>
              <w:bottom w:w="0" w:type="dxa"/>
              <w:right w:w="0" w:type="dxa"/>
            </w:tcMar>
            <w:vAlign w:val="center"/>
          </w:tcPr>
          <w:p w14:paraId="76C1902A"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car</w:t>
            </w:r>
          </w:p>
        </w:tc>
        <w:tc>
          <w:tcPr>
            <w:tcW w:w="1974" w:type="dxa"/>
            <w:shd w:val="clear" w:color="auto" w:fill="FF9781"/>
            <w:tcMar>
              <w:top w:w="0" w:type="dxa"/>
              <w:left w:w="0" w:type="dxa"/>
              <w:bottom w:w="0" w:type="dxa"/>
              <w:right w:w="0" w:type="dxa"/>
            </w:tcMar>
            <w:vAlign w:val="center"/>
          </w:tcPr>
          <w:p w14:paraId="7AC47FBC"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(B10-B5)*100 \# "0%" \* MERGEFORMAT</w:instrText>
            </w:r>
            <w:r w:rsidRPr="00EE5CC3">
              <w:rPr>
                <w:sz w:val="20"/>
                <w:szCs w:val="20"/>
              </w:rPr>
              <w:fldChar w:fldCharType="separate"/>
            </w:r>
            <w:r w:rsidRPr="00EE5CC3">
              <w:rPr>
                <w:sz w:val="20"/>
                <w:szCs w:val="20"/>
              </w:rPr>
              <w:t>-7.53%</w:t>
            </w:r>
            <w:r w:rsidRPr="00EE5CC3">
              <w:rPr>
                <w:sz w:val="20"/>
                <w:szCs w:val="20"/>
              </w:rPr>
              <w:fldChar w:fldCharType="end"/>
            </w:r>
          </w:p>
        </w:tc>
        <w:tc>
          <w:tcPr>
            <w:tcW w:w="2194" w:type="dxa"/>
            <w:shd w:val="clear" w:color="auto" w:fill="FF9781"/>
            <w:tcMar>
              <w:top w:w="0" w:type="dxa"/>
              <w:left w:w="0" w:type="dxa"/>
              <w:bottom w:w="0" w:type="dxa"/>
              <w:right w:w="0" w:type="dxa"/>
            </w:tcMar>
            <w:vAlign w:val="center"/>
          </w:tcPr>
          <w:p w14:paraId="5F653F77"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(C10-C5)*100 \# "0.00%" \* MERGEFORMAT</w:instrText>
            </w:r>
            <w:r w:rsidRPr="00EE5CC3">
              <w:rPr>
                <w:sz w:val="20"/>
                <w:szCs w:val="20"/>
              </w:rPr>
              <w:fldChar w:fldCharType="separate"/>
            </w:r>
            <w:r w:rsidRPr="00EE5CC3">
              <w:rPr>
                <w:sz w:val="20"/>
                <w:szCs w:val="20"/>
              </w:rPr>
              <w:t>-0.18%</w:t>
            </w:r>
            <w:r w:rsidRPr="00EE5CC3">
              <w:rPr>
                <w:sz w:val="20"/>
                <w:szCs w:val="20"/>
              </w:rPr>
              <w:fldChar w:fldCharType="end"/>
            </w:r>
          </w:p>
        </w:tc>
        <w:tc>
          <w:tcPr>
            <w:tcW w:w="1822" w:type="dxa"/>
            <w:shd w:val="clear" w:color="auto" w:fill="AFE489"/>
            <w:tcMar>
              <w:top w:w="0" w:type="dxa"/>
              <w:left w:w="0" w:type="dxa"/>
              <w:bottom w:w="0" w:type="dxa"/>
              <w:right w:w="0" w:type="dxa"/>
            </w:tcMar>
            <w:vAlign w:val="center"/>
          </w:tcPr>
          <w:p w14:paraId="4A408EEC"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(D10-D5)*100 \# "0%" \* MERGEFORMAT</w:instrText>
            </w:r>
            <w:r w:rsidRPr="00EE5CC3">
              <w:rPr>
                <w:sz w:val="20"/>
                <w:szCs w:val="20"/>
              </w:rPr>
              <w:fldChar w:fldCharType="separate"/>
            </w:r>
            <w:r w:rsidRPr="00EE5CC3">
              <w:rPr>
                <w:sz w:val="20"/>
                <w:szCs w:val="20"/>
              </w:rPr>
              <w:t>2.88%</w:t>
            </w:r>
            <w:r w:rsidRPr="00EE5CC3">
              <w:rPr>
                <w:sz w:val="20"/>
                <w:szCs w:val="20"/>
              </w:rPr>
              <w:fldChar w:fldCharType="end"/>
            </w:r>
          </w:p>
        </w:tc>
      </w:tr>
      <w:tr w:rsidR="00FF37A0" w14:paraId="6CC54562" w14:textId="77777777" w:rsidTr="00846313">
        <w:tblPrEx>
          <w:shd w:val="clear" w:color="auto" w:fill="D0DDEF"/>
        </w:tblPrEx>
        <w:trPr>
          <w:trHeight w:val="140"/>
        </w:trPr>
        <w:tc>
          <w:tcPr>
            <w:tcW w:w="1755" w:type="dxa"/>
            <w:shd w:val="clear" w:color="auto" w:fill="auto"/>
            <w:tcMar>
              <w:top w:w="0" w:type="dxa"/>
              <w:left w:w="0" w:type="dxa"/>
              <w:bottom w:w="0" w:type="dxa"/>
              <w:right w:w="0" w:type="dxa"/>
            </w:tcMar>
            <w:vAlign w:val="center"/>
          </w:tcPr>
          <w:p w14:paraId="0C3F279A" w14:textId="77777777" w:rsidR="00FF37A0" w:rsidRPr="00EE5CC3" w:rsidRDefault="00FF37A0" w:rsidP="00647D26">
            <w:pPr>
              <w:pStyle w:val="Body"/>
              <w:jc w:val="center"/>
              <w:rPr>
                <w:color w:val="000000" w:themeColor="text1"/>
                <w:sz w:val="20"/>
                <w:szCs w:val="20"/>
              </w:rPr>
            </w:pPr>
            <w:r w:rsidRPr="00EE5CC3">
              <w:rPr>
                <w:color w:val="000000" w:themeColor="text1"/>
                <w:sz w:val="20"/>
                <w:szCs w:val="20"/>
              </w:rPr>
              <w:t>Av % walk</w:t>
            </w:r>
          </w:p>
        </w:tc>
        <w:tc>
          <w:tcPr>
            <w:tcW w:w="1974" w:type="dxa"/>
            <w:shd w:val="clear" w:color="auto" w:fill="AFE489"/>
            <w:tcMar>
              <w:top w:w="0" w:type="dxa"/>
              <w:left w:w="0" w:type="dxa"/>
              <w:bottom w:w="0" w:type="dxa"/>
              <w:right w:w="0" w:type="dxa"/>
            </w:tcMar>
            <w:vAlign w:val="center"/>
          </w:tcPr>
          <w:p w14:paraId="6DDEFD6F"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(B11-B6)*100 \# "0%" \* MERGEFORMAT</w:instrText>
            </w:r>
            <w:r w:rsidRPr="00EE5CC3">
              <w:rPr>
                <w:sz w:val="20"/>
                <w:szCs w:val="20"/>
              </w:rPr>
              <w:fldChar w:fldCharType="separate"/>
            </w:r>
            <w:r w:rsidRPr="00EE5CC3">
              <w:rPr>
                <w:sz w:val="20"/>
                <w:szCs w:val="20"/>
              </w:rPr>
              <w:t>3.45%</w:t>
            </w:r>
            <w:r w:rsidRPr="00EE5CC3">
              <w:rPr>
                <w:sz w:val="20"/>
                <w:szCs w:val="20"/>
              </w:rPr>
              <w:fldChar w:fldCharType="end"/>
            </w:r>
          </w:p>
        </w:tc>
        <w:tc>
          <w:tcPr>
            <w:tcW w:w="2194" w:type="dxa"/>
            <w:shd w:val="clear" w:color="auto" w:fill="AFE489"/>
            <w:tcMar>
              <w:top w:w="0" w:type="dxa"/>
              <w:left w:w="0" w:type="dxa"/>
              <w:bottom w:w="0" w:type="dxa"/>
              <w:right w:w="0" w:type="dxa"/>
            </w:tcMar>
            <w:vAlign w:val="center"/>
          </w:tcPr>
          <w:p w14:paraId="1EAD77E6"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(C11-C6)*100 \# "0%" \* MERGEFORMAT</w:instrText>
            </w:r>
            <w:r w:rsidRPr="00EE5CC3">
              <w:rPr>
                <w:sz w:val="20"/>
                <w:szCs w:val="20"/>
              </w:rPr>
              <w:fldChar w:fldCharType="separate"/>
            </w:r>
            <w:r w:rsidRPr="00EE5CC3">
              <w:rPr>
                <w:sz w:val="20"/>
                <w:szCs w:val="20"/>
              </w:rPr>
              <w:t>4.18%</w:t>
            </w:r>
            <w:r w:rsidRPr="00EE5CC3">
              <w:rPr>
                <w:sz w:val="20"/>
                <w:szCs w:val="20"/>
              </w:rPr>
              <w:fldChar w:fldCharType="end"/>
            </w:r>
          </w:p>
        </w:tc>
        <w:tc>
          <w:tcPr>
            <w:tcW w:w="1822" w:type="dxa"/>
            <w:shd w:val="clear" w:color="auto" w:fill="AFE489"/>
            <w:tcMar>
              <w:top w:w="0" w:type="dxa"/>
              <w:left w:w="0" w:type="dxa"/>
              <w:bottom w:w="0" w:type="dxa"/>
              <w:right w:w="0" w:type="dxa"/>
            </w:tcMar>
            <w:vAlign w:val="center"/>
          </w:tcPr>
          <w:p w14:paraId="7FDD6DAB" w14:textId="77777777" w:rsidR="00FF37A0" w:rsidRPr="00EE5CC3" w:rsidRDefault="00FF37A0" w:rsidP="00647D26">
            <w:pPr>
              <w:pStyle w:val="Body"/>
              <w:jc w:val="center"/>
              <w:rPr>
                <w:sz w:val="20"/>
                <w:szCs w:val="20"/>
              </w:rPr>
            </w:pPr>
            <w:r w:rsidRPr="00EE5CC3">
              <w:rPr>
                <w:sz w:val="20"/>
                <w:szCs w:val="20"/>
              </w:rPr>
              <w:fldChar w:fldCharType="begin"/>
            </w:r>
            <w:r w:rsidRPr="00EE5CC3">
              <w:rPr>
                <w:sz w:val="20"/>
                <w:szCs w:val="20"/>
              </w:rPr>
              <w:instrText xml:space="preserve"> = (D11-D6)*100 \# "0%" \* MERGEFORMAT</w:instrText>
            </w:r>
            <w:r w:rsidRPr="00EE5CC3">
              <w:rPr>
                <w:sz w:val="20"/>
                <w:szCs w:val="20"/>
              </w:rPr>
              <w:fldChar w:fldCharType="separate"/>
            </w:r>
            <w:r w:rsidRPr="00EE5CC3">
              <w:rPr>
                <w:sz w:val="20"/>
                <w:szCs w:val="20"/>
              </w:rPr>
              <w:t>3.51%</w:t>
            </w:r>
            <w:r w:rsidRPr="00EE5CC3">
              <w:rPr>
                <w:sz w:val="20"/>
                <w:szCs w:val="20"/>
              </w:rPr>
              <w:fldChar w:fldCharType="end"/>
            </w:r>
          </w:p>
        </w:tc>
      </w:tr>
    </w:tbl>
    <w:p w14:paraId="6703C200" w14:textId="77777777" w:rsidR="00FF37A0" w:rsidRPr="00FF37A0" w:rsidRDefault="00FF37A0" w:rsidP="00050F11">
      <w:pPr>
        <w:pStyle w:val="Caption"/>
      </w:pPr>
      <w:bookmarkStart w:id="22" w:name="_Toc445239515"/>
      <w:r w:rsidRPr="00FF37A0">
        <w:t xml:space="preserve">Table </w:t>
      </w:r>
      <w:fldSimple w:instr=" STYLEREF 1 \s ">
        <w:r w:rsidR="00567EF1">
          <w:rPr>
            <w:noProof/>
          </w:rPr>
          <w:t>3</w:t>
        </w:r>
      </w:fldSimple>
      <w:r w:rsidRPr="00FF37A0">
        <w:t>.</w:t>
      </w:r>
      <w:fldSimple w:instr=" SEQ Table \* ARABIC \s 1 ">
        <w:r w:rsidRPr="00FF37A0">
          <w:t>7</w:t>
        </w:r>
      </w:fldSimple>
      <w:r w:rsidRPr="00FF37A0">
        <w:t xml:space="preserve"> - </w:t>
      </w:r>
      <w:r w:rsidRPr="00A37617">
        <w:rPr>
          <w:b w:val="0"/>
        </w:rPr>
        <w:t>Change in journey to work by mode (2001 - 2011)</w:t>
      </w:r>
      <w:bookmarkEnd w:id="22"/>
    </w:p>
    <w:p w14:paraId="16366E84" w14:textId="77777777" w:rsidR="00647D26" w:rsidRDefault="00647D26" w:rsidP="00050F11">
      <w:r>
        <w:br w:type="page"/>
      </w:r>
    </w:p>
    <w:p w14:paraId="413A82BD" w14:textId="77777777" w:rsidR="00647D26" w:rsidRDefault="00647D26" w:rsidP="00567EF1">
      <w:pPr>
        <w:pStyle w:val="Heading1"/>
      </w:pPr>
      <w:r>
        <w:t>CONCLUSIONS</w:t>
      </w:r>
    </w:p>
    <w:p w14:paraId="7CB65CC1" w14:textId="77777777" w:rsidR="00647D26" w:rsidRDefault="00647D26" w:rsidP="00050F11">
      <w:r>
        <w:t xml:space="preserve">This investigation has attempted to determine the impact that the operation of a light-rail system has had on urban regeneration in Nottingham through conducting a comparative spatial analysis methodology that measures changes to capital and socio-economic-based indicators of gentrification occurring within walking accessibility of the tram corridor, a devised control corridor and the wider urban area.  </w:t>
      </w:r>
    </w:p>
    <w:p w14:paraId="7B115EFB" w14:textId="77777777" w:rsidR="00647D26" w:rsidRDefault="00647D26" w:rsidP="00050F11"/>
    <w:p w14:paraId="6475C196" w14:textId="77777777" w:rsidR="00647D26" w:rsidRPr="00857AED" w:rsidRDefault="00647D26" w:rsidP="00050F11">
      <w:r w:rsidRPr="00857AED">
        <w:t>The analysis revealed evidence to suggest that light-rail in Nottingham has little impact on the emergence of wider demographic and socio-economic shifts often associated with urban gentrification, despite operating through areas of the city previously identified as eligible (</w:t>
      </w:r>
      <w:proofErr w:type="spellStart"/>
      <w:r w:rsidRPr="00857AED">
        <w:t>Hammel</w:t>
      </w:r>
      <w:proofErr w:type="spellEnd"/>
      <w:r w:rsidRPr="00857AED">
        <w:t xml:space="preserve"> and </w:t>
      </w:r>
      <w:proofErr w:type="spellStart"/>
      <w:r w:rsidRPr="00857AED">
        <w:t>Wyly</w:t>
      </w:r>
      <w:proofErr w:type="spellEnd"/>
      <w:r w:rsidRPr="00857AED">
        <w:t xml:space="preserve">, 1996). The tram corridor significantly underperformed against the control area and the wider urban area on nearly all of the demographic and socio-economic indicators measured making theoretical ties between LRT and urban regeneration questionable (Young, 2007). It is controversial to suggest whether these are positive or negative findings. On the one hand, gentrification can help regenerate and revitalise areas of the inner city helping to drive greater economic growth, reduce localised crime and improve the standard of living (Freeman, 2005). However, on the other hand these results suggest that LRT investment does not exacerbate social inequality by causing existing residents to relocate (Knowles and Ferbrache, 2015; Vandergrift, 2006). Evidence from empirical observation of the type and extent of local amenities, businesses and new housing developments also mirrored these findings, with evidence of investment in the control corridor and significant underinvestment in the N.E.T corridor. </w:t>
      </w:r>
    </w:p>
    <w:p w14:paraId="149081D2" w14:textId="77777777" w:rsidR="00647D26" w:rsidRDefault="00647D26" w:rsidP="00050F11"/>
    <w:p w14:paraId="06D0FF1A" w14:textId="77777777" w:rsidR="00647D26" w:rsidRPr="00857AED" w:rsidRDefault="00647D26" w:rsidP="00050F11">
      <w:r w:rsidRPr="00857AED">
        <w:t xml:space="preserve">This study did however find evidence to suggest that the existence of light-rail helps to marginally increase the attractiveness of housing around particular stops, reflected in the rate of housing price growth over a seven-year monitoring period between 2001 and 2008 (5-10%). This is probably caused by the benefits of improved levels of accessibility to jobs and services located within the CBD which broadly mirroring findings found in other similar empirical studies (Ovenell, 2007; Weinstein and </w:t>
      </w:r>
      <w:proofErr w:type="spellStart"/>
      <w:r w:rsidRPr="00857AED">
        <w:t>Clower</w:t>
      </w:r>
      <w:proofErr w:type="spellEnd"/>
      <w:r w:rsidRPr="00857AED">
        <w:t xml:space="preserve">, 1999). These increases were not distributed evenly along the corridor however and instead were found to be clustered around high density residential areas within the inner-city including </w:t>
      </w:r>
      <w:r w:rsidRPr="00857AED">
        <w:rPr>
          <w:i/>
        </w:rPr>
        <w:t>The Forest, Hyson Green and Basford.</w:t>
      </w:r>
      <w:r w:rsidRPr="00857AED">
        <w:t xml:space="preserve"> The variability of findings by locality are similar to those found in Sunderland in a study by Du and Mulley (2007) on the Tyne and Wear metro, further strengthening the requirement to greater assess locality when appraising the economic benefits from these types of transport investments. </w:t>
      </w:r>
    </w:p>
    <w:p w14:paraId="1AD74990" w14:textId="77777777" w:rsidR="00647D26" w:rsidRDefault="00647D26" w:rsidP="00050F11"/>
    <w:p w14:paraId="502DC6DE" w14:textId="77777777" w:rsidR="00647D26" w:rsidRDefault="00647D26" w:rsidP="00050F11">
      <w:r w:rsidRPr="00857AED">
        <w:t xml:space="preserve">Further analysis into the cause of these results suggest that despite the tram encouraging a reduction in car use within the immediate corridor, the N.E.T system still remains under strong competition from the private car even for most urban journeys, severely limiting its attractiveness and ability to encourage these wider socio-economic changes over time (Lee and Senior, 2013). It was found that facilities for the private car including the availability of parking and proximity to major road corridors remained the most important attributes in determining the attractiveness of property, potentially indicating why the control corridor outperformed the tram corridor in this study.  </w:t>
      </w:r>
    </w:p>
    <w:p w14:paraId="07331D46" w14:textId="77777777" w:rsidR="00647D26" w:rsidRPr="00647D26" w:rsidRDefault="00647D26" w:rsidP="00567EF1">
      <w:pPr>
        <w:pStyle w:val="Heading2"/>
      </w:pPr>
      <w:r w:rsidRPr="00647D26">
        <w:t>Policy Recommendations and Further Research</w:t>
      </w:r>
    </w:p>
    <w:p w14:paraId="4EF6CC1D" w14:textId="77777777" w:rsidR="00647D26" w:rsidRDefault="00647D26" w:rsidP="00050F11">
      <w:r w:rsidRPr="00857AED">
        <w:t>Despite the results from this study suggesting that light-rail has a minimal impact on urban gentrification and regeneration, there still remains a need to continue to develop and strengthen this area of research, particularly in the context of UK light-rail investment. Some of the findings from this study and other similar studies suggest how investment in light-rail helps to marginally increase the value of land within certain areas of the corridor which could potentially form an economic base upon which socio-economic changes could take place at later stages in the scheme lifecycle (</w:t>
      </w:r>
      <w:proofErr w:type="spellStart"/>
      <w:r w:rsidRPr="00857AED">
        <w:t>Waine</w:t>
      </w:r>
      <w:proofErr w:type="spellEnd"/>
      <w:r w:rsidRPr="00857AED">
        <w:t xml:space="preserve">, 2015; Du and Mulley, 2007). This recommendation is especially relevant as effects from LRT investment may not always be immediate and may take several years of well-established operation to come to fruition (Ovenell, 2007; RICS, 2002). Larger metropolitan areas in the UK are progressively moving towards higher population densities and greater levels of city living, for which the private car may become less attractive for urban-based trips due to lack of access and issues with traffic congestion, potentially causing a shift in travel </w:t>
      </w:r>
      <w:r w:rsidR="00567EF1" w:rsidRPr="00857AED">
        <w:t>behaviour</w:t>
      </w:r>
      <w:r w:rsidRPr="00857AED">
        <w:t xml:space="preserve"> (Litman, 2015). </w:t>
      </w:r>
    </w:p>
    <w:p w14:paraId="6D014B86" w14:textId="77777777" w:rsidR="00A728BA" w:rsidRPr="00857AED" w:rsidRDefault="00A728BA" w:rsidP="00050F11"/>
    <w:p w14:paraId="65BB4F76" w14:textId="77777777" w:rsidR="00037E21" w:rsidRPr="00037E21" w:rsidRDefault="00647D26" w:rsidP="00050F11">
      <w:r w:rsidRPr="00857AED">
        <w:t xml:space="preserve">The results from this study also highlight how light-rail has potential to create land value uplift that may not be reflected accurately in the existing </w:t>
      </w:r>
      <w:proofErr w:type="spellStart"/>
      <w:r w:rsidRPr="00857AED">
        <w:t>WebTAG</w:t>
      </w:r>
      <w:proofErr w:type="spellEnd"/>
      <w:r w:rsidRPr="00857AED">
        <w:t xml:space="preserve"> guidance. Developing a better understanding of the level of this interaction in the UK could permit development of alternative sources for funding including local developer subsidies, betterment tax and accessibility contributions (</w:t>
      </w:r>
      <w:proofErr w:type="spellStart"/>
      <w:r w:rsidRPr="00857AED">
        <w:t>Medda</w:t>
      </w:r>
      <w:proofErr w:type="spellEnd"/>
      <w:r w:rsidRPr="00857AED">
        <w:t>, 2012; Knowles, 2007). These funding mechanisms could be used as a means of making light-rail a more financially viable option in the short-term f</w:t>
      </w:r>
      <w:r w:rsidR="007E3B27">
        <w:t>or local authorities to invest. G</w:t>
      </w:r>
      <w:r w:rsidRPr="00857AED">
        <w:t xml:space="preserve">overnment and local authorities </w:t>
      </w:r>
      <w:r w:rsidR="007E3B27">
        <w:t>need to</w:t>
      </w:r>
      <w:r w:rsidRPr="00857AED">
        <w:t xml:space="preserve"> establish better ex-post monitoring and assessment of not only the economic but also social changes that arise from light-rail schemes operating in the UK (Atkins, 2014). There is a need to identify certain datasets that highlight potentially regenerative changes within the urban environment and to collect and maintain these datasets on a continual basis at a finer spatial scale. Developing a detailed picture of short and longer term patterns of socio-economic change from existing systems is a vital way of improving the accuracy of ex-ante appraisal of transport options for the future.</w:t>
      </w:r>
    </w:p>
    <w:p w14:paraId="5DE43E67" w14:textId="77777777" w:rsidR="00647D26" w:rsidRDefault="00647D26" w:rsidP="00050F11"/>
    <w:p w14:paraId="183ADBC6" w14:textId="77777777" w:rsidR="008E4BB6" w:rsidRDefault="008E4BB6" w:rsidP="00050F11"/>
    <w:p w14:paraId="250DF30E" w14:textId="77777777" w:rsidR="008E4BB6" w:rsidRDefault="008E4BB6" w:rsidP="00050F11">
      <w:r>
        <w:t>Word Count = 5,069</w:t>
      </w:r>
    </w:p>
    <w:p w14:paraId="23321570" w14:textId="77777777" w:rsidR="008E4BB6" w:rsidRDefault="008E4BB6" w:rsidP="00050F11"/>
    <w:p w14:paraId="536D29C0" w14:textId="77777777" w:rsidR="008E4BB6" w:rsidRPr="00B1395C" w:rsidRDefault="008E4BB6" w:rsidP="008E4BB6">
      <w:pPr>
        <w:pStyle w:val="NoSpacing"/>
      </w:pPr>
      <w:r w:rsidRPr="00B1395C">
        <w:t xml:space="preserve">Maps and data included in the following documentation </w:t>
      </w:r>
      <w:r>
        <w:t>contain</w:t>
      </w:r>
      <w:r w:rsidRPr="00B1395C">
        <w:t xml:space="preserve"> material from the Office for National Statistics (ONS), Consumer Data Research Centre (CDRC) and Land Registry © Crown Copyright 2016. These are used under the Open Government License (OGL) v3.0. </w:t>
      </w:r>
    </w:p>
    <w:p w14:paraId="1DE79035" w14:textId="77777777" w:rsidR="008E4BB6" w:rsidRPr="00B1395C" w:rsidRDefault="008E4BB6" w:rsidP="008E4BB6">
      <w:pPr>
        <w:pStyle w:val="Body"/>
      </w:pPr>
    </w:p>
    <w:p w14:paraId="5793F27B" w14:textId="77777777" w:rsidR="008E4BB6" w:rsidRPr="00B1395C" w:rsidRDefault="008E4BB6" w:rsidP="008E4BB6">
      <w:pPr>
        <w:pStyle w:val="Body"/>
      </w:pPr>
      <w:r w:rsidRPr="00B1395C">
        <w:t xml:space="preserve">Maps contains Ordnance Survey data </w:t>
      </w:r>
      <w:r w:rsidRPr="00B1395C">
        <w:rPr>
          <w:lang w:val="de-DE"/>
        </w:rPr>
        <w:t xml:space="preserve">© </w:t>
      </w:r>
      <w:r w:rsidRPr="00B1395C">
        <w:t>Crown C</w:t>
      </w:r>
      <w:r>
        <w:t>opyright and Database right 2017</w:t>
      </w:r>
      <w:r w:rsidRPr="00B1395C">
        <w:t xml:space="preserve"> Ordnance Survey 100019153</w:t>
      </w:r>
    </w:p>
    <w:p w14:paraId="61CA3F7C" w14:textId="77777777" w:rsidR="008E4BB6" w:rsidRDefault="008E4BB6" w:rsidP="00050F11"/>
    <w:p w14:paraId="26F259FB" w14:textId="77777777" w:rsidR="008E4BB6" w:rsidRDefault="008E4BB6" w:rsidP="00050F11"/>
    <w:p w14:paraId="3A72B52C" w14:textId="77777777" w:rsidR="008E4BB6" w:rsidRDefault="008E4BB6" w:rsidP="00567EF1">
      <w:pPr>
        <w:pStyle w:val="Heading1"/>
        <w:rPr>
          <w:lang w:val="it-IT"/>
        </w:rPr>
      </w:pPr>
      <w:r>
        <w:rPr>
          <w:lang w:val="it-IT"/>
        </w:rPr>
        <w:t>BIBLIOGRAPHY</w:t>
      </w:r>
    </w:p>
    <w:p w14:paraId="5D9D1B4B" w14:textId="77777777" w:rsidR="008E4BB6" w:rsidRPr="008E4BB6" w:rsidRDefault="008E4BB6" w:rsidP="008E4BB6">
      <w:pPr>
        <w:pStyle w:val="Body"/>
        <w:rPr>
          <w:color w:val="000000" w:themeColor="text1"/>
          <w:szCs w:val="18"/>
          <w:lang w:val="it-IT"/>
        </w:rPr>
      </w:pPr>
      <w:r w:rsidRPr="008E4BB6">
        <w:rPr>
          <w:color w:val="000000" w:themeColor="text1"/>
          <w:szCs w:val="18"/>
          <w:lang w:val="it-IT"/>
        </w:rPr>
        <w:t xml:space="preserve">Allan, A (2001) Walking as a local transport modal choice in Adelaide. </w:t>
      </w:r>
      <w:r w:rsidRPr="008E4BB6">
        <w:rPr>
          <w:i/>
          <w:color w:val="000000" w:themeColor="text1"/>
          <w:szCs w:val="18"/>
          <w:lang w:val="it-IT"/>
        </w:rPr>
        <w:t>World Transport Policy and Practice.</w:t>
      </w:r>
      <w:r w:rsidRPr="008E4BB6">
        <w:rPr>
          <w:color w:val="000000" w:themeColor="text1"/>
          <w:szCs w:val="18"/>
          <w:lang w:val="it-IT"/>
        </w:rPr>
        <w:t xml:space="preserve"> 7(2), p44-51</w:t>
      </w:r>
    </w:p>
    <w:p w14:paraId="6F2D02EE" w14:textId="77777777" w:rsidR="008E4BB6" w:rsidRPr="008E4BB6" w:rsidRDefault="008E4BB6" w:rsidP="008E4BB6">
      <w:pPr>
        <w:pStyle w:val="Body"/>
        <w:rPr>
          <w:color w:val="000000" w:themeColor="text1"/>
          <w:szCs w:val="18"/>
          <w:lang w:val="it-IT"/>
        </w:rPr>
      </w:pPr>
    </w:p>
    <w:p w14:paraId="2CD659E0" w14:textId="77777777" w:rsidR="008E4BB6" w:rsidRPr="008E4BB6" w:rsidRDefault="008E4BB6" w:rsidP="008E4BB6">
      <w:pPr>
        <w:pStyle w:val="Body"/>
        <w:rPr>
          <w:color w:val="000000" w:themeColor="text1"/>
          <w:szCs w:val="18"/>
        </w:rPr>
      </w:pPr>
      <w:r w:rsidRPr="008E4BB6">
        <w:rPr>
          <w:color w:val="000000" w:themeColor="text1"/>
          <w:szCs w:val="18"/>
          <w:lang w:val="it-IT"/>
        </w:rPr>
        <w:t>Alejandrino, S.V (2000) Gentrification in San Francisco</w:t>
      </w:r>
      <w:r w:rsidRPr="008E4BB6">
        <w:rPr>
          <w:color w:val="000000" w:themeColor="text1"/>
          <w:szCs w:val="18"/>
        </w:rPr>
        <w:t xml:space="preserve">’s Mission District: Indicators and Policy Recommendations. Mission Economic Development Association. </w:t>
      </w:r>
    </w:p>
    <w:p w14:paraId="3642B221" w14:textId="77777777" w:rsidR="008E4BB6" w:rsidRPr="008E4BB6" w:rsidRDefault="008E4BB6" w:rsidP="008E4BB6">
      <w:pPr>
        <w:pStyle w:val="Body"/>
        <w:rPr>
          <w:color w:val="000000" w:themeColor="text1"/>
          <w:szCs w:val="18"/>
        </w:rPr>
      </w:pPr>
    </w:p>
    <w:p w14:paraId="37B867F7" w14:textId="77777777" w:rsidR="008E4BB6" w:rsidRPr="008E4BB6" w:rsidRDefault="008E4BB6" w:rsidP="008E4BB6">
      <w:pPr>
        <w:pStyle w:val="Body"/>
        <w:rPr>
          <w:color w:val="000000" w:themeColor="text1"/>
          <w:szCs w:val="18"/>
        </w:rPr>
      </w:pPr>
      <w:r w:rsidRPr="008E4BB6">
        <w:rPr>
          <w:color w:val="000000" w:themeColor="text1"/>
          <w:szCs w:val="18"/>
        </w:rPr>
        <w:t xml:space="preserve">Atkins-WS (2014) Meta evaluation of local major schemes – final report. </w:t>
      </w:r>
      <w:r w:rsidRPr="008E4BB6">
        <w:rPr>
          <w:i/>
          <w:color w:val="000000" w:themeColor="text1"/>
          <w:szCs w:val="18"/>
        </w:rPr>
        <w:t xml:space="preserve">Transport related technical &amp; engineering advice and research. </w:t>
      </w:r>
      <w:r w:rsidRPr="008E4BB6">
        <w:rPr>
          <w:color w:val="000000" w:themeColor="text1"/>
          <w:szCs w:val="18"/>
        </w:rPr>
        <w:t xml:space="preserve">Available: </w:t>
      </w:r>
      <w:hyperlink r:id="rId17" w:history="1">
        <w:r w:rsidRPr="008E4BB6">
          <w:rPr>
            <w:rStyle w:val="Hyperlink"/>
            <w:color w:val="000000" w:themeColor="text1"/>
            <w:szCs w:val="18"/>
            <w:u w:val="none"/>
          </w:rPr>
          <w:t>https://www.gov.uk/government/uploads/system/uploads/attachment_data/file/339175/meta-evaluation-final-report.pdf</w:t>
        </w:r>
      </w:hyperlink>
    </w:p>
    <w:p w14:paraId="38794F9D" w14:textId="77777777" w:rsidR="008E4BB6" w:rsidRPr="008E4BB6" w:rsidRDefault="008E4BB6" w:rsidP="008E4BB6">
      <w:pPr>
        <w:pStyle w:val="Body"/>
        <w:rPr>
          <w:color w:val="000000" w:themeColor="text1"/>
          <w:szCs w:val="18"/>
        </w:rPr>
      </w:pPr>
    </w:p>
    <w:p w14:paraId="20F00E8E" w14:textId="77777777" w:rsidR="008E4BB6" w:rsidRPr="008E4BB6" w:rsidRDefault="008E4BB6" w:rsidP="008E4BB6">
      <w:pPr>
        <w:pStyle w:val="Body"/>
        <w:rPr>
          <w:color w:val="000000" w:themeColor="text1"/>
          <w:szCs w:val="18"/>
        </w:rPr>
      </w:pPr>
      <w:r w:rsidRPr="008E4BB6">
        <w:rPr>
          <w:color w:val="000000" w:themeColor="text1"/>
          <w:szCs w:val="18"/>
        </w:rPr>
        <w:t>Atkinson, R (2000) The hidden costs of gentrification: Displacement in central London. Journal of Housing and the Built Environment, 15(4), p307-326</w:t>
      </w:r>
    </w:p>
    <w:p w14:paraId="346B333B" w14:textId="77777777" w:rsidR="008E4BB6" w:rsidRPr="008E4BB6" w:rsidRDefault="008E4BB6" w:rsidP="008E4BB6">
      <w:pPr>
        <w:pStyle w:val="Body"/>
        <w:rPr>
          <w:color w:val="000000" w:themeColor="text1"/>
          <w:szCs w:val="18"/>
        </w:rPr>
      </w:pPr>
    </w:p>
    <w:p w14:paraId="0F992984" w14:textId="77777777" w:rsidR="008E4BB6" w:rsidRPr="008E4BB6" w:rsidRDefault="008E4BB6" w:rsidP="008E4BB6">
      <w:pPr>
        <w:pStyle w:val="Body"/>
        <w:rPr>
          <w:color w:val="000000" w:themeColor="text1"/>
          <w:szCs w:val="18"/>
        </w:rPr>
      </w:pPr>
      <w:r w:rsidRPr="008E4BB6">
        <w:rPr>
          <w:color w:val="000000" w:themeColor="text1"/>
          <w:szCs w:val="18"/>
        </w:rPr>
        <w:t xml:space="preserve">Atkinson, R; Bridge, G (2005) Gentrification in a Global Content: The New Urban Colonialism. </w:t>
      </w:r>
      <w:r w:rsidRPr="008E4BB6">
        <w:rPr>
          <w:i/>
          <w:color w:val="000000" w:themeColor="text1"/>
          <w:szCs w:val="18"/>
        </w:rPr>
        <w:t>Routledge, London</w:t>
      </w:r>
      <w:r w:rsidRPr="008E4BB6">
        <w:rPr>
          <w:color w:val="000000" w:themeColor="text1"/>
          <w:szCs w:val="18"/>
        </w:rPr>
        <w:t xml:space="preserve">. </w:t>
      </w:r>
    </w:p>
    <w:p w14:paraId="01DA6095" w14:textId="77777777" w:rsidR="008E4BB6" w:rsidRPr="008E4BB6" w:rsidRDefault="008E4BB6" w:rsidP="008E4BB6">
      <w:pPr>
        <w:pStyle w:val="Body"/>
        <w:rPr>
          <w:color w:val="000000" w:themeColor="text1"/>
          <w:szCs w:val="18"/>
        </w:rPr>
      </w:pPr>
    </w:p>
    <w:p w14:paraId="31B7ED60" w14:textId="77777777" w:rsidR="008E4BB6" w:rsidRPr="008E4BB6" w:rsidRDefault="008E4BB6" w:rsidP="008E4BB6">
      <w:pPr>
        <w:pStyle w:val="Body"/>
        <w:rPr>
          <w:color w:val="000000" w:themeColor="text1"/>
          <w:szCs w:val="18"/>
        </w:rPr>
      </w:pPr>
      <w:r w:rsidRPr="008E4BB6">
        <w:rPr>
          <w:color w:val="000000" w:themeColor="text1"/>
          <w:szCs w:val="18"/>
        </w:rPr>
        <w:t xml:space="preserve">Barton, M (2016) An exploration of the importance of the strategy used to identify gentrification. </w:t>
      </w:r>
      <w:r w:rsidRPr="008E4BB6">
        <w:rPr>
          <w:i/>
          <w:color w:val="000000" w:themeColor="text1"/>
          <w:szCs w:val="18"/>
        </w:rPr>
        <w:t>Urban Studies</w:t>
      </w:r>
      <w:r w:rsidRPr="008E4BB6">
        <w:rPr>
          <w:color w:val="000000" w:themeColor="text1"/>
          <w:szCs w:val="18"/>
        </w:rPr>
        <w:t>. 53(1), p92-111</w:t>
      </w:r>
    </w:p>
    <w:p w14:paraId="781A4D06" w14:textId="77777777" w:rsidR="008E4BB6" w:rsidRPr="008E4BB6" w:rsidRDefault="008E4BB6" w:rsidP="008E4BB6">
      <w:pPr>
        <w:pStyle w:val="Body"/>
        <w:rPr>
          <w:color w:val="000000" w:themeColor="text1"/>
          <w:szCs w:val="18"/>
        </w:rPr>
      </w:pPr>
    </w:p>
    <w:p w14:paraId="2409C529" w14:textId="77777777" w:rsidR="008E4BB6" w:rsidRPr="008E4BB6" w:rsidRDefault="008E4BB6" w:rsidP="008E4BB6">
      <w:pPr>
        <w:pStyle w:val="Body"/>
        <w:rPr>
          <w:color w:val="000000" w:themeColor="text1"/>
          <w:szCs w:val="18"/>
        </w:rPr>
      </w:pPr>
      <w:r w:rsidRPr="008E4BB6">
        <w:rPr>
          <w:color w:val="000000" w:themeColor="text1"/>
          <w:szCs w:val="18"/>
        </w:rPr>
        <w:t>Berry, B; Tennant, R.J; Garner, B.J; Simmons, J.W (1963) Commercial structure and commercial blight. Research Paper 85. University of Chicago, Department of Geography</w:t>
      </w:r>
    </w:p>
    <w:p w14:paraId="25DD719D" w14:textId="77777777" w:rsidR="008E4BB6" w:rsidRPr="008E4BB6" w:rsidRDefault="008E4BB6" w:rsidP="008E4BB6">
      <w:pPr>
        <w:pStyle w:val="Body"/>
        <w:rPr>
          <w:color w:val="000000" w:themeColor="text1"/>
          <w:szCs w:val="18"/>
        </w:rPr>
      </w:pPr>
    </w:p>
    <w:p w14:paraId="3B5C64F5" w14:textId="77777777" w:rsidR="008E4BB6" w:rsidRPr="008E4BB6" w:rsidRDefault="008E4BB6" w:rsidP="008E4BB6">
      <w:pPr>
        <w:pStyle w:val="Body"/>
        <w:rPr>
          <w:color w:val="000000" w:themeColor="text1"/>
          <w:szCs w:val="18"/>
        </w:rPr>
      </w:pPr>
      <w:r w:rsidRPr="008E4BB6">
        <w:rPr>
          <w:color w:val="000000" w:themeColor="text1"/>
          <w:szCs w:val="18"/>
        </w:rPr>
        <w:t>Bollinger, C; Ihlanfeldt, K; Bowes, D (1998) Spatial variation in office rents within the Atlanta Region. Urban Studies 35(1), p1097-1118</w:t>
      </w:r>
    </w:p>
    <w:p w14:paraId="6299EB6F" w14:textId="77777777" w:rsidR="008E4BB6" w:rsidRPr="008E4BB6" w:rsidRDefault="008E4BB6" w:rsidP="008E4BB6">
      <w:pPr>
        <w:pStyle w:val="Body"/>
        <w:rPr>
          <w:color w:val="000000" w:themeColor="text1"/>
          <w:szCs w:val="18"/>
        </w:rPr>
      </w:pPr>
    </w:p>
    <w:p w14:paraId="45E9F8C3" w14:textId="77777777" w:rsidR="008E4BB6" w:rsidRPr="008E4BB6" w:rsidRDefault="008E4BB6" w:rsidP="008E4BB6">
      <w:pPr>
        <w:pStyle w:val="Body"/>
        <w:rPr>
          <w:color w:val="000000" w:themeColor="text1"/>
          <w:szCs w:val="18"/>
        </w:rPr>
      </w:pPr>
      <w:r w:rsidRPr="008E4BB6">
        <w:rPr>
          <w:color w:val="000000" w:themeColor="text1"/>
          <w:szCs w:val="18"/>
        </w:rPr>
        <w:t xml:space="preserve">Bowes, D.R; </w:t>
      </w:r>
      <w:proofErr w:type="spellStart"/>
      <w:r w:rsidRPr="008E4BB6">
        <w:rPr>
          <w:color w:val="000000" w:themeColor="text1"/>
          <w:szCs w:val="18"/>
        </w:rPr>
        <w:t>Ihlafeldt</w:t>
      </w:r>
      <w:proofErr w:type="spellEnd"/>
      <w:r w:rsidRPr="008E4BB6">
        <w:rPr>
          <w:color w:val="000000" w:themeColor="text1"/>
          <w:szCs w:val="18"/>
        </w:rPr>
        <w:t xml:space="preserve">, K.R (2001) Identifying the impact of rail transit stations on residential property values. </w:t>
      </w:r>
      <w:r w:rsidRPr="008E4BB6">
        <w:rPr>
          <w:i/>
          <w:color w:val="000000" w:themeColor="text1"/>
          <w:szCs w:val="18"/>
        </w:rPr>
        <w:t>Journal of Urban Economics</w:t>
      </w:r>
      <w:r w:rsidRPr="008E4BB6">
        <w:rPr>
          <w:color w:val="000000" w:themeColor="text1"/>
          <w:szCs w:val="18"/>
        </w:rPr>
        <w:t>. 50(1), p1-25</w:t>
      </w:r>
    </w:p>
    <w:p w14:paraId="3BF918D9" w14:textId="77777777" w:rsidR="008E4BB6" w:rsidRPr="008E4BB6" w:rsidRDefault="008E4BB6" w:rsidP="008E4BB6">
      <w:pPr>
        <w:pStyle w:val="Body"/>
        <w:rPr>
          <w:color w:val="000000" w:themeColor="text1"/>
          <w:szCs w:val="18"/>
        </w:rPr>
      </w:pPr>
    </w:p>
    <w:p w14:paraId="5E3B05A9" w14:textId="77777777" w:rsidR="008E4BB6" w:rsidRPr="008E4BB6" w:rsidRDefault="008E4BB6" w:rsidP="008E4BB6">
      <w:pPr>
        <w:pStyle w:val="Body"/>
        <w:rPr>
          <w:rStyle w:val="Hyperlink1"/>
          <w:rFonts w:asciiTheme="minorHAnsi" w:hAnsiTheme="minorHAnsi" w:cstheme="minorHAnsi"/>
          <w:color w:val="000000" w:themeColor="text1"/>
          <w:szCs w:val="18"/>
          <w:u w:val="none"/>
          <w:lang w:val="de-DE"/>
        </w:rPr>
      </w:pPr>
      <w:r w:rsidRPr="008E4BB6">
        <w:rPr>
          <w:color w:val="000000" w:themeColor="text1"/>
          <w:szCs w:val="18"/>
        </w:rPr>
        <w:t xml:space="preserve">Cao, X, Porter-Nelson, D (2016) Real estate development in anticipation of the Green Line light-rail transit in St. Paul. Transport Policy. </w:t>
      </w:r>
      <w:hyperlink r:id="rId18" w:history="1">
        <w:r w:rsidRPr="008E4BB6">
          <w:rPr>
            <w:rStyle w:val="Hyperlink1"/>
            <w:rFonts w:asciiTheme="minorHAnsi" w:hAnsiTheme="minorHAnsi" w:cstheme="minorHAnsi"/>
            <w:color w:val="000000" w:themeColor="text1"/>
            <w:szCs w:val="18"/>
            <w:u w:val="none"/>
            <w:lang w:val="de-DE"/>
          </w:rPr>
          <w:t>http://dx.doi.org/10.1016/j.tranpol.2016.01.007</w:t>
        </w:r>
      </w:hyperlink>
    </w:p>
    <w:p w14:paraId="19551384" w14:textId="77777777" w:rsidR="008E4BB6" w:rsidRPr="008E4BB6" w:rsidRDefault="008E4BB6" w:rsidP="008E4BB6">
      <w:pPr>
        <w:pStyle w:val="Body"/>
        <w:rPr>
          <w:rStyle w:val="Hyperlink1"/>
          <w:rFonts w:asciiTheme="minorHAnsi" w:hAnsiTheme="minorHAnsi" w:cstheme="minorHAnsi"/>
          <w:color w:val="000000" w:themeColor="text1"/>
          <w:szCs w:val="18"/>
          <w:u w:val="none"/>
          <w:lang w:val="de-DE"/>
        </w:rPr>
      </w:pPr>
    </w:p>
    <w:p w14:paraId="6FDA70BD" w14:textId="77777777" w:rsidR="008E4BB6" w:rsidRPr="008E4BB6" w:rsidRDefault="008E4BB6" w:rsidP="008E4BB6">
      <w:pPr>
        <w:pStyle w:val="Body"/>
        <w:rPr>
          <w:rStyle w:val="Hyperlink1"/>
          <w:rFonts w:asciiTheme="minorHAnsi" w:hAnsiTheme="minorHAnsi" w:cstheme="minorHAnsi"/>
          <w:color w:val="000000" w:themeColor="text1"/>
          <w:szCs w:val="18"/>
          <w:u w:val="none"/>
          <w:lang w:val="de-DE"/>
        </w:rPr>
      </w:pPr>
      <w:r w:rsidRPr="008E4BB6">
        <w:rPr>
          <w:rStyle w:val="Hyperlink1"/>
          <w:rFonts w:asciiTheme="minorHAnsi" w:hAnsiTheme="minorHAnsi" w:cstheme="minorHAnsi"/>
          <w:color w:val="000000" w:themeColor="text1"/>
          <w:szCs w:val="18"/>
          <w:u w:val="none"/>
          <w:lang w:val="de-DE"/>
        </w:rPr>
        <w:t xml:space="preserve">CBT (2009) Light Rail and City Regions: a 21st Century Mode of Transport (Light Rail Inequiry by the All-Party Parliamentary Light Rail and PTEG – response from Campaign for Better Transport). Available: </w:t>
      </w:r>
      <w:hyperlink r:id="rId19" w:history="1">
        <w:r w:rsidRPr="008E4BB6">
          <w:rPr>
            <w:rStyle w:val="Hyperlink"/>
            <w:color w:val="000000" w:themeColor="text1"/>
            <w:szCs w:val="18"/>
            <w:u w:val="none"/>
            <w:lang w:val="de-DE"/>
          </w:rPr>
          <w:t>www.bettertransport.org.uk/sites/default/files/light-rail-inquiry-Oct09.pdf</w:t>
        </w:r>
      </w:hyperlink>
    </w:p>
    <w:p w14:paraId="2A23EEEF" w14:textId="77777777" w:rsidR="008E4BB6" w:rsidRPr="008E4BB6" w:rsidRDefault="008E4BB6" w:rsidP="008E4BB6">
      <w:pPr>
        <w:pStyle w:val="Body"/>
        <w:rPr>
          <w:rStyle w:val="Link"/>
          <w:rFonts w:eastAsia="Helvetica Neue"/>
          <w:color w:val="000000" w:themeColor="text1"/>
          <w:szCs w:val="18"/>
          <w:u w:val="none"/>
        </w:rPr>
      </w:pPr>
    </w:p>
    <w:p w14:paraId="3F920C6F" w14:textId="77777777" w:rsidR="008E4BB6" w:rsidRPr="008E4BB6" w:rsidRDefault="008E4BB6" w:rsidP="008E4BB6">
      <w:pPr>
        <w:pStyle w:val="Body"/>
        <w:rPr>
          <w:rStyle w:val="Link"/>
          <w:color w:val="000000" w:themeColor="text1"/>
          <w:szCs w:val="18"/>
          <w:u w:val="none"/>
        </w:rPr>
      </w:pPr>
      <w:r w:rsidRPr="008E4BB6">
        <w:rPr>
          <w:rStyle w:val="Link"/>
          <w:color w:val="000000" w:themeColor="text1"/>
          <w:szCs w:val="18"/>
          <w:u w:val="none"/>
        </w:rPr>
        <w:t>CDRC (2015) Consumer Data Research Centre Data Service User Guide. Available: https://www.cdrc.ac.uk/wp-content/uploads/2015/07/User-Guide-V4.pdf</w:t>
      </w:r>
    </w:p>
    <w:p w14:paraId="60F3CE59" w14:textId="77777777" w:rsidR="008E4BB6" w:rsidRPr="008E4BB6" w:rsidRDefault="008E4BB6" w:rsidP="008E4BB6">
      <w:pPr>
        <w:pStyle w:val="Body"/>
        <w:rPr>
          <w:color w:val="000000" w:themeColor="text1"/>
          <w:szCs w:val="18"/>
        </w:rPr>
      </w:pPr>
    </w:p>
    <w:p w14:paraId="044005E0" w14:textId="77777777" w:rsidR="008E4BB6" w:rsidRPr="008E4BB6" w:rsidRDefault="008E4BB6" w:rsidP="008E4BB6">
      <w:pPr>
        <w:pStyle w:val="Body"/>
        <w:rPr>
          <w:rStyle w:val="Link"/>
          <w:color w:val="000000" w:themeColor="text1"/>
          <w:szCs w:val="18"/>
          <w:u w:val="none"/>
        </w:rPr>
      </w:pPr>
      <w:r w:rsidRPr="008E4BB6">
        <w:rPr>
          <w:rStyle w:val="Link"/>
          <w:color w:val="000000" w:themeColor="text1"/>
          <w:szCs w:val="18"/>
          <w:u w:val="none"/>
        </w:rPr>
        <w:t>Cervero, R; Landis, J (1993) Assessing the impact of urban rail transit on local real estate markets using quasi-experimental comparisons. Transportation Research Part A: Policy and Practice. 27(1), p13-22</w:t>
      </w:r>
    </w:p>
    <w:p w14:paraId="272E182D" w14:textId="77777777" w:rsidR="008E4BB6" w:rsidRPr="008E4BB6" w:rsidRDefault="008E4BB6" w:rsidP="008E4BB6">
      <w:pPr>
        <w:pStyle w:val="Body"/>
        <w:rPr>
          <w:rStyle w:val="Link"/>
          <w:color w:val="000000" w:themeColor="text1"/>
          <w:szCs w:val="18"/>
          <w:u w:val="none"/>
        </w:rPr>
      </w:pPr>
    </w:p>
    <w:p w14:paraId="2E6239DC" w14:textId="77777777" w:rsidR="008E4BB6" w:rsidRPr="008E4BB6" w:rsidRDefault="008E4BB6" w:rsidP="008E4BB6">
      <w:pPr>
        <w:pStyle w:val="Body"/>
        <w:rPr>
          <w:rStyle w:val="Link"/>
          <w:color w:val="000000" w:themeColor="text1"/>
          <w:szCs w:val="18"/>
          <w:u w:val="none"/>
        </w:rPr>
      </w:pPr>
      <w:r w:rsidRPr="008E4BB6">
        <w:rPr>
          <w:rStyle w:val="Link"/>
          <w:color w:val="000000" w:themeColor="text1"/>
          <w:szCs w:val="18"/>
          <w:u w:val="none"/>
        </w:rPr>
        <w:t>Cervero, R (2004) Effect of light and commuter rail transit on land prices: Experiences in San Diego county. Journal of the Transportation Research Forum. 43(1), p121-138</w:t>
      </w:r>
    </w:p>
    <w:p w14:paraId="095279A7" w14:textId="77777777" w:rsidR="008E4BB6" w:rsidRPr="008E4BB6" w:rsidRDefault="008E4BB6" w:rsidP="008E4BB6">
      <w:pPr>
        <w:pStyle w:val="Body"/>
        <w:rPr>
          <w:rStyle w:val="Link"/>
          <w:color w:val="000000" w:themeColor="text1"/>
          <w:szCs w:val="18"/>
          <w:u w:val="none"/>
        </w:rPr>
      </w:pPr>
    </w:p>
    <w:p w14:paraId="3C11AF25" w14:textId="77777777" w:rsidR="008E4BB6" w:rsidRPr="008E4BB6" w:rsidRDefault="008E4BB6" w:rsidP="008E4BB6">
      <w:pPr>
        <w:pStyle w:val="Body"/>
        <w:rPr>
          <w:rStyle w:val="Link"/>
          <w:color w:val="000000" w:themeColor="text1"/>
          <w:szCs w:val="18"/>
          <w:u w:val="none"/>
        </w:rPr>
      </w:pPr>
      <w:r w:rsidRPr="008E4BB6">
        <w:rPr>
          <w:rStyle w:val="Link"/>
          <w:color w:val="000000" w:themeColor="text1"/>
          <w:szCs w:val="18"/>
          <w:u w:val="none"/>
        </w:rPr>
        <w:t xml:space="preserve">Cervero, R; Duncan, M (2001) Rail Transit’s Value Added: Effect of proximity to light and commuter rail on commercial land values in Santa Clara County, California. National Association of Realtors, Urban Land Institute, California. </w:t>
      </w:r>
    </w:p>
    <w:p w14:paraId="0D78F01E" w14:textId="77777777" w:rsidR="008E4BB6" w:rsidRPr="008E4BB6" w:rsidRDefault="008E4BB6" w:rsidP="008E4BB6">
      <w:pPr>
        <w:pStyle w:val="Body"/>
        <w:rPr>
          <w:rStyle w:val="Link"/>
          <w:color w:val="000000" w:themeColor="text1"/>
          <w:szCs w:val="18"/>
          <w:u w:val="none"/>
        </w:rPr>
      </w:pPr>
    </w:p>
    <w:p w14:paraId="73A061EC" w14:textId="77777777" w:rsidR="008E4BB6" w:rsidRPr="008E4BB6" w:rsidRDefault="008E4BB6" w:rsidP="008E4BB6">
      <w:pPr>
        <w:pStyle w:val="Body"/>
        <w:rPr>
          <w:color w:val="000000" w:themeColor="text1"/>
          <w:szCs w:val="18"/>
        </w:rPr>
      </w:pPr>
      <w:proofErr w:type="spellStart"/>
      <w:r w:rsidRPr="008E4BB6">
        <w:rPr>
          <w:rStyle w:val="Link"/>
          <w:color w:val="000000" w:themeColor="text1"/>
          <w:szCs w:val="18"/>
          <w:u w:val="none"/>
        </w:rPr>
        <w:t>CfIT</w:t>
      </w:r>
      <w:proofErr w:type="spellEnd"/>
      <w:r w:rsidRPr="008E4BB6">
        <w:rPr>
          <w:rStyle w:val="Link"/>
          <w:color w:val="000000" w:themeColor="text1"/>
          <w:szCs w:val="18"/>
          <w:u w:val="none"/>
        </w:rPr>
        <w:t xml:space="preserve"> (2005) Affordable Mass Transit Guidance: Helping you choose the best system for your area. Commission for Integrated Transport Guidance. p1-97</w:t>
      </w:r>
    </w:p>
    <w:p w14:paraId="6AD98F52" w14:textId="77777777" w:rsidR="008E4BB6" w:rsidRPr="008E4BB6" w:rsidRDefault="008E4BB6" w:rsidP="008E4BB6">
      <w:pPr>
        <w:pStyle w:val="Body"/>
        <w:rPr>
          <w:rStyle w:val="Link"/>
          <w:color w:val="000000" w:themeColor="text1"/>
          <w:szCs w:val="18"/>
          <w:u w:val="none"/>
        </w:rPr>
      </w:pPr>
    </w:p>
    <w:p w14:paraId="375C2EE8" w14:textId="77777777" w:rsidR="008E4BB6" w:rsidRPr="008E4BB6" w:rsidRDefault="008E4BB6" w:rsidP="008E4BB6">
      <w:pPr>
        <w:pStyle w:val="Body"/>
        <w:rPr>
          <w:rStyle w:val="Link"/>
          <w:color w:val="000000" w:themeColor="text1"/>
          <w:szCs w:val="18"/>
          <w:u w:val="none"/>
        </w:rPr>
      </w:pPr>
      <w:r w:rsidRPr="008E4BB6">
        <w:rPr>
          <w:rStyle w:val="Link"/>
          <w:color w:val="000000" w:themeColor="text1"/>
          <w:szCs w:val="18"/>
          <w:u w:val="none"/>
        </w:rPr>
        <w:t>Chapple, K (2009) Mapping Susceptibility to Gentrification: The Early Warning Toolkit. The Centre for Community Innovation (CCI). 1(1), p1-23</w:t>
      </w:r>
    </w:p>
    <w:p w14:paraId="66804655" w14:textId="77777777" w:rsidR="008E4BB6" w:rsidRPr="008E4BB6" w:rsidRDefault="008E4BB6" w:rsidP="008E4BB6">
      <w:pPr>
        <w:pStyle w:val="Body"/>
        <w:rPr>
          <w:rStyle w:val="Link"/>
          <w:color w:val="000000" w:themeColor="text1"/>
          <w:szCs w:val="18"/>
          <w:u w:val="none"/>
        </w:rPr>
      </w:pPr>
    </w:p>
    <w:p w14:paraId="621712BA" w14:textId="77777777" w:rsidR="008E4BB6" w:rsidRPr="008E4BB6" w:rsidRDefault="008E4BB6" w:rsidP="008E4BB6">
      <w:pPr>
        <w:pStyle w:val="Body"/>
        <w:rPr>
          <w:rStyle w:val="Link"/>
          <w:color w:val="000000" w:themeColor="text1"/>
          <w:szCs w:val="18"/>
          <w:u w:val="none"/>
        </w:rPr>
      </w:pPr>
      <w:proofErr w:type="spellStart"/>
      <w:r w:rsidRPr="008E4BB6">
        <w:rPr>
          <w:rStyle w:val="Link"/>
          <w:color w:val="000000" w:themeColor="text1"/>
          <w:szCs w:val="18"/>
          <w:u w:val="none"/>
        </w:rPr>
        <w:t>Clerval</w:t>
      </w:r>
      <w:proofErr w:type="spellEnd"/>
      <w:r w:rsidRPr="008E4BB6">
        <w:rPr>
          <w:rStyle w:val="Link"/>
          <w:color w:val="000000" w:themeColor="text1"/>
          <w:szCs w:val="18"/>
          <w:u w:val="none"/>
        </w:rPr>
        <w:t xml:space="preserve">, A (2006) Gentrification: a frontier reshaping social division of urban space in inner Paris. International Federation for Housing and Planning p1-8. </w:t>
      </w:r>
    </w:p>
    <w:p w14:paraId="2A366055" w14:textId="77777777" w:rsidR="008E4BB6" w:rsidRPr="008E4BB6" w:rsidRDefault="008E4BB6" w:rsidP="008E4BB6">
      <w:pPr>
        <w:pStyle w:val="Body"/>
        <w:rPr>
          <w:rStyle w:val="Link"/>
          <w:color w:val="000000" w:themeColor="text1"/>
          <w:szCs w:val="18"/>
          <w:u w:val="none"/>
        </w:rPr>
      </w:pPr>
    </w:p>
    <w:p w14:paraId="031A72E7" w14:textId="77777777" w:rsidR="008E4BB6" w:rsidRPr="008E4BB6" w:rsidRDefault="008E4BB6" w:rsidP="008E4BB6">
      <w:pPr>
        <w:pStyle w:val="Body"/>
        <w:rPr>
          <w:rStyle w:val="Link"/>
          <w:color w:val="000000" w:themeColor="text1"/>
          <w:szCs w:val="18"/>
          <w:u w:val="none"/>
        </w:rPr>
      </w:pPr>
      <w:r w:rsidRPr="008E4BB6">
        <w:rPr>
          <w:rStyle w:val="Link"/>
          <w:color w:val="000000" w:themeColor="text1"/>
          <w:szCs w:val="18"/>
          <w:u w:val="none"/>
        </w:rPr>
        <w:t xml:space="preserve">CTOD (2008) Capturing the value of transit. Prepared for the United States Department of Transportation Federal Transit Administration by the Centre for Transit-Oriented Development. </w:t>
      </w:r>
    </w:p>
    <w:p w14:paraId="28B6A91D" w14:textId="77777777" w:rsidR="008E4BB6" w:rsidRPr="008E4BB6" w:rsidRDefault="008E4BB6" w:rsidP="008E4BB6">
      <w:pPr>
        <w:pStyle w:val="Body"/>
        <w:rPr>
          <w:color w:val="000000" w:themeColor="text1"/>
          <w:szCs w:val="18"/>
        </w:rPr>
      </w:pPr>
    </w:p>
    <w:p w14:paraId="028282ED" w14:textId="77777777" w:rsidR="008E4BB6" w:rsidRPr="008E4BB6" w:rsidRDefault="008E4BB6" w:rsidP="008E4BB6">
      <w:pPr>
        <w:pStyle w:val="Body"/>
        <w:rPr>
          <w:color w:val="000000" w:themeColor="text1"/>
          <w:szCs w:val="18"/>
        </w:rPr>
      </w:pPr>
      <w:r w:rsidRPr="008E4BB6">
        <w:rPr>
          <w:color w:val="000000" w:themeColor="text1"/>
          <w:szCs w:val="18"/>
        </w:rPr>
        <w:t>Dabinett, G (1998) Realising regeneration benefits from urban infrastructure investment. Town Planning Review. 69(2), p171-189</w:t>
      </w:r>
    </w:p>
    <w:p w14:paraId="63E569DB" w14:textId="77777777" w:rsidR="008E4BB6" w:rsidRPr="008E4BB6" w:rsidRDefault="008E4BB6" w:rsidP="008E4BB6">
      <w:pPr>
        <w:pStyle w:val="Body"/>
        <w:rPr>
          <w:color w:val="000000" w:themeColor="text1"/>
          <w:szCs w:val="18"/>
        </w:rPr>
      </w:pPr>
    </w:p>
    <w:p w14:paraId="731AD365" w14:textId="77777777" w:rsidR="008E4BB6" w:rsidRPr="008E4BB6" w:rsidRDefault="008E4BB6" w:rsidP="008E4BB6">
      <w:pPr>
        <w:pStyle w:val="Body"/>
        <w:rPr>
          <w:color w:val="000000" w:themeColor="text1"/>
          <w:szCs w:val="18"/>
        </w:rPr>
      </w:pPr>
      <w:r w:rsidRPr="008E4BB6">
        <w:rPr>
          <w:color w:val="000000" w:themeColor="text1"/>
          <w:szCs w:val="18"/>
        </w:rPr>
        <w:t>Daniels, R; Mulley, C (2013) Explaining walking distance to public transport: The dominance of public transport supply. The Journal of Transport and Land Use. 6(2), p5-20</w:t>
      </w:r>
    </w:p>
    <w:p w14:paraId="672CBC8E" w14:textId="77777777" w:rsidR="008E4BB6" w:rsidRPr="008E4BB6" w:rsidRDefault="008E4BB6" w:rsidP="008E4BB6">
      <w:pPr>
        <w:pStyle w:val="Body"/>
        <w:rPr>
          <w:color w:val="000000" w:themeColor="text1"/>
          <w:szCs w:val="18"/>
        </w:rPr>
      </w:pPr>
    </w:p>
    <w:p w14:paraId="3A4A7EF5" w14:textId="77777777" w:rsidR="008E4BB6" w:rsidRPr="008E4BB6" w:rsidRDefault="008E4BB6" w:rsidP="008E4BB6">
      <w:pPr>
        <w:pStyle w:val="Body"/>
        <w:rPr>
          <w:color w:val="000000" w:themeColor="text1"/>
          <w:szCs w:val="18"/>
        </w:rPr>
      </w:pPr>
      <w:r w:rsidRPr="008E4BB6">
        <w:rPr>
          <w:color w:val="000000" w:themeColor="text1"/>
          <w:szCs w:val="18"/>
        </w:rPr>
        <w:t>Davidson, M; Lees, L (2005) New-build ‘</w:t>
      </w:r>
      <w:r w:rsidRPr="008E4BB6">
        <w:rPr>
          <w:color w:val="000000" w:themeColor="text1"/>
          <w:szCs w:val="18"/>
          <w:lang w:val="fr-FR"/>
        </w:rPr>
        <w:t>gentrification</w:t>
      </w:r>
      <w:r w:rsidRPr="008E4BB6">
        <w:rPr>
          <w:color w:val="000000" w:themeColor="text1"/>
          <w:szCs w:val="18"/>
        </w:rPr>
        <w:t>’ and London’s riverside renaissance. Environment and Planning A. 37(1), p1165-1190</w:t>
      </w:r>
    </w:p>
    <w:p w14:paraId="56F56202" w14:textId="77777777" w:rsidR="008E4BB6" w:rsidRPr="008E4BB6" w:rsidRDefault="008E4BB6" w:rsidP="008E4BB6">
      <w:pPr>
        <w:pStyle w:val="Body"/>
        <w:rPr>
          <w:color w:val="000000" w:themeColor="text1"/>
          <w:szCs w:val="18"/>
        </w:rPr>
      </w:pPr>
    </w:p>
    <w:p w14:paraId="1EBDBAE0" w14:textId="77777777" w:rsidR="008E4BB6" w:rsidRPr="008E4BB6" w:rsidRDefault="008E4BB6" w:rsidP="008E4BB6">
      <w:pPr>
        <w:pStyle w:val="Body"/>
        <w:rPr>
          <w:color w:val="000000" w:themeColor="text1"/>
          <w:szCs w:val="18"/>
        </w:rPr>
      </w:pPr>
      <w:r w:rsidRPr="008E4BB6">
        <w:rPr>
          <w:color w:val="000000" w:themeColor="text1"/>
          <w:szCs w:val="18"/>
        </w:rPr>
        <w:t xml:space="preserve">Department for Transport (2011) Green Light for Light Rail. Available: </w:t>
      </w:r>
      <w:hyperlink r:id="rId20" w:history="1">
        <w:r w:rsidRPr="008E4BB6">
          <w:rPr>
            <w:rStyle w:val="Hyperlink2"/>
            <w:rFonts w:asciiTheme="minorHAnsi" w:hAnsiTheme="minorHAnsi" w:cstheme="minorHAnsi"/>
            <w:color w:val="000000" w:themeColor="text1"/>
            <w:szCs w:val="18"/>
            <w:u w:val="none"/>
          </w:rPr>
          <w:t>https://www.gov.uk/government/uploads/system/uploads/attachment_data/file/3618/green-light-for-light-rail.pdf</w:t>
        </w:r>
      </w:hyperlink>
    </w:p>
    <w:p w14:paraId="6FB6D62C" w14:textId="77777777" w:rsidR="008E4BB6" w:rsidRPr="008E4BB6" w:rsidRDefault="008E4BB6" w:rsidP="008E4BB6">
      <w:pPr>
        <w:pStyle w:val="Body"/>
        <w:rPr>
          <w:color w:val="000000" w:themeColor="text1"/>
          <w:szCs w:val="18"/>
        </w:rPr>
      </w:pPr>
    </w:p>
    <w:p w14:paraId="54435C08" w14:textId="77777777" w:rsidR="008E4BB6" w:rsidRPr="008E4BB6" w:rsidRDefault="008E4BB6" w:rsidP="008E4BB6">
      <w:pPr>
        <w:pStyle w:val="Body"/>
        <w:rPr>
          <w:rStyle w:val="Hyperlink2"/>
          <w:rFonts w:asciiTheme="minorHAnsi" w:hAnsiTheme="minorHAnsi" w:cstheme="minorHAnsi"/>
          <w:color w:val="000000" w:themeColor="text1"/>
          <w:szCs w:val="18"/>
          <w:u w:val="none"/>
        </w:rPr>
      </w:pPr>
      <w:r w:rsidRPr="008E4BB6">
        <w:rPr>
          <w:color w:val="000000" w:themeColor="text1"/>
          <w:szCs w:val="18"/>
        </w:rPr>
        <w:t xml:space="preserve">Department for Transport (2014) Transport Analysis Guidance (TAG) Unit A2.2 Regeneration Impacts. Available: </w:t>
      </w:r>
      <w:hyperlink r:id="rId21" w:history="1">
        <w:r w:rsidRPr="008E4BB6">
          <w:rPr>
            <w:rStyle w:val="Hyperlink2"/>
            <w:rFonts w:asciiTheme="minorHAnsi" w:hAnsiTheme="minorHAnsi" w:cstheme="minorHAnsi"/>
            <w:color w:val="000000" w:themeColor="text1"/>
            <w:szCs w:val="18"/>
            <w:u w:val="none"/>
          </w:rPr>
          <w:t>https://www.gov.uk/transport-analysis-guidance-webtag</w:t>
        </w:r>
      </w:hyperlink>
    </w:p>
    <w:p w14:paraId="372E7719" w14:textId="77777777" w:rsidR="008E4BB6" w:rsidRPr="008E4BB6" w:rsidRDefault="008E4BB6" w:rsidP="008E4BB6">
      <w:pPr>
        <w:pStyle w:val="Body"/>
        <w:rPr>
          <w:color w:val="000000" w:themeColor="text1"/>
          <w:szCs w:val="18"/>
        </w:rPr>
      </w:pPr>
    </w:p>
    <w:p w14:paraId="0C9BCBE8" w14:textId="77777777" w:rsidR="008E4BB6" w:rsidRPr="008E4BB6" w:rsidRDefault="008E4BB6" w:rsidP="008E4BB6">
      <w:pPr>
        <w:pStyle w:val="Body"/>
        <w:rPr>
          <w:rStyle w:val="Hyperlink2"/>
          <w:rFonts w:asciiTheme="minorHAnsi" w:hAnsiTheme="minorHAnsi" w:cstheme="minorHAnsi"/>
          <w:color w:val="000000" w:themeColor="text1"/>
          <w:szCs w:val="18"/>
          <w:u w:val="none"/>
        </w:rPr>
      </w:pPr>
      <w:r w:rsidRPr="008E4BB6">
        <w:rPr>
          <w:color w:val="000000" w:themeColor="text1"/>
          <w:szCs w:val="18"/>
        </w:rPr>
        <w:t xml:space="preserve">Department for Transport (2015a) Light rail and tram statistics: England, year ending March 2015. Available: </w:t>
      </w:r>
      <w:hyperlink r:id="rId22" w:history="1">
        <w:r w:rsidRPr="008E4BB6">
          <w:rPr>
            <w:rStyle w:val="Hyperlink2"/>
            <w:rFonts w:asciiTheme="minorHAnsi" w:hAnsiTheme="minorHAnsi" w:cstheme="minorHAnsi"/>
            <w:color w:val="000000" w:themeColor="text1"/>
            <w:szCs w:val="18"/>
            <w:u w:val="none"/>
          </w:rPr>
          <w:t>https://www.gov.uk/government/collections/light-rail-and-tram-statistics</w:t>
        </w:r>
      </w:hyperlink>
    </w:p>
    <w:p w14:paraId="4FEA443E" w14:textId="77777777" w:rsidR="008E4BB6" w:rsidRPr="008E4BB6" w:rsidRDefault="008E4BB6" w:rsidP="008E4BB6">
      <w:pPr>
        <w:pStyle w:val="Body"/>
        <w:rPr>
          <w:rStyle w:val="Hyperlink2"/>
          <w:rFonts w:asciiTheme="minorHAnsi" w:hAnsiTheme="minorHAnsi" w:cstheme="minorHAnsi"/>
          <w:color w:val="000000" w:themeColor="text1"/>
          <w:szCs w:val="18"/>
          <w:u w:val="none"/>
        </w:rPr>
      </w:pPr>
    </w:p>
    <w:p w14:paraId="6948EADE" w14:textId="77777777" w:rsidR="008E4BB6" w:rsidRPr="008E4BB6" w:rsidRDefault="008E4BB6" w:rsidP="008E4BB6">
      <w:pPr>
        <w:pStyle w:val="Body"/>
        <w:rPr>
          <w:color w:val="000000" w:themeColor="text1"/>
          <w:szCs w:val="18"/>
        </w:rPr>
      </w:pPr>
      <w:r w:rsidRPr="008E4BB6">
        <w:rPr>
          <w:color w:val="000000" w:themeColor="text1"/>
          <w:szCs w:val="18"/>
        </w:rPr>
        <w:t xml:space="preserve">Ding, L; Hwang, J; </w:t>
      </w:r>
      <w:proofErr w:type="spellStart"/>
      <w:r w:rsidRPr="008E4BB6">
        <w:rPr>
          <w:color w:val="000000" w:themeColor="text1"/>
          <w:szCs w:val="18"/>
        </w:rPr>
        <w:t>Divringi</w:t>
      </w:r>
      <w:proofErr w:type="spellEnd"/>
      <w:r w:rsidRPr="008E4BB6">
        <w:rPr>
          <w:color w:val="000000" w:themeColor="text1"/>
          <w:szCs w:val="18"/>
        </w:rPr>
        <w:t>, E (2015) Gentrification and Residential Mobility in Philadelphia. p1-25</w:t>
      </w:r>
    </w:p>
    <w:p w14:paraId="2D673984" w14:textId="77777777" w:rsidR="008E4BB6" w:rsidRPr="008E4BB6" w:rsidRDefault="008E4BB6" w:rsidP="008E4BB6">
      <w:pPr>
        <w:pStyle w:val="Body"/>
        <w:rPr>
          <w:color w:val="000000" w:themeColor="text1"/>
          <w:szCs w:val="18"/>
        </w:rPr>
      </w:pPr>
    </w:p>
    <w:p w14:paraId="6C1641E3" w14:textId="77777777" w:rsidR="008E4BB6" w:rsidRPr="008E4BB6" w:rsidRDefault="008E4BB6" w:rsidP="008E4BB6">
      <w:pPr>
        <w:pStyle w:val="Body"/>
        <w:rPr>
          <w:color w:val="000000" w:themeColor="text1"/>
          <w:szCs w:val="18"/>
        </w:rPr>
      </w:pPr>
      <w:r w:rsidRPr="008E4BB6">
        <w:rPr>
          <w:color w:val="000000" w:themeColor="text1"/>
          <w:szCs w:val="18"/>
        </w:rPr>
        <w:t>Docherty, I. Shaw, J. (2008) A new deal for transport? The UK’s struggle with the sustainable transport agenda. Blackwell publishing, Oxford</w:t>
      </w:r>
    </w:p>
    <w:p w14:paraId="2CEA7F80" w14:textId="77777777" w:rsidR="008E4BB6" w:rsidRPr="008E4BB6" w:rsidRDefault="008E4BB6" w:rsidP="008E4BB6">
      <w:pPr>
        <w:pStyle w:val="Body"/>
        <w:rPr>
          <w:color w:val="000000" w:themeColor="text1"/>
          <w:szCs w:val="18"/>
        </w:rPr>
      </w:pPr>
    </w:p>
    <w:p w14:paraId="3B2A29D7" w14:textId="77777777" w:rsidR="008E4BB6" w:rsidRPr="008E4BB6" w:rsidRDefault="008E4BB6" w:rsidP="008E4BB6">
      <w:pPr>
        <w:pStyle w:val="Body"/>
        <w:rPr>
          <w:color w:val="000000" w:themeColor="text1"/>
          <w:szCs w:val="18"/>
        </w:rPr>
      </w:pPr>
      <w:r w:rsidRPr="008E4BB6">
        <w:rPr>
          <w:color w:val="000000" w:themeColor="text1"/>
          <w:szCs w:val="18"/>
        </w:rPr>
        <w:t xml:space="preserve">Docherty, I; Shaw, J; Knowles, R; Mackinnon; D (2009) Connecting for competitiveness: the future of transport in UK city regions. </w:t>
      </w:r>
      <w:r w:rsidRPr="008E4BB6">
        <w:rPr>
          <w:i/>
          <w:color w:val="000000" w:themeColor="text1"/>
          <w:szCs w:val="18"/>
        </w:rPr>
        <w:t>Public Money Management</w:t>
      </w:r>
      <w:r w:rsidRPr="008E4BB6">
        <w:rPr>
          <w:color w:val="000000" w:themeColor="text1"/>
          <w:szCs w:val="18"/>
        </w:rPr>
        <w:t>. 29(5), p321-328</w:t>
      </w:r>
    </w:p>
    <w:p w14:paraId="5B93FCDD" w14:textId="77777777" w:rsidR="008E4BB6" w:rsidRPr="008E4BB6" w:rsidRDefault="008E4BB6" w:rsidP="008E4BB6">
      <w:pPr>
        <w:pStyle w:val="Body"/>
        <w:rPr>
          <w:color w:val="000000" w:themeColor="text1"/>
          <w:szCs w:val="18"/>
        </w:rPr>
      </w:pPr>
    </w:p>
    <w:p w14:paraId="5758895E" w14:textId="77777777" w:rsidR="008E4BB6" w:rsidRPr="008E4BB6" w:rsidRDefault="008E4BB6" w:rsidP="008E4BB6">
      <w:pPr>
        <w:pStyle w:val="Body"/>
        <w:rPr>
          <w:color w:val="000000" w:themeColor="text1"/>
          <w:szCs w:val="18"/>
        </w:rPr>
      </w:pPr>
      <w:r w:rsidRPr="008E4BB6">
        <w:rPr>
          <w:color w:val="000000" w:themeColor="text1"/>
          <w:szCs w:val="18"/>
        </w:rPr>
        <w:t>Du, H; Mulley, C (2007) The short-term land value impacts of urban rail transit; Quantitative evidence from Sunderland, UK. Land Use Policy. 24, p223-233</w:t>
      </w:r>
    </w:p>
    <w:p w14:paraId="7A9AC83E" w14:textId="77777777" w:rsidR="008E4BB6" w:rsidRPr="008E4BB6" w:rsidRDefault="008E4BB6" w:rsidP="008E4BB6">
      <w:pPr>
        <w:pStyle w:val="Body"/>
        <w:rPr>
          <w:color w:val="000000" w:themeColor="text1"/>
          <w:szCs w:val="18"/>
        </w:rPr>
      </w:pPr>
    </w:p>
    <w:p w14:paraId="1F00DE59" w14:textId="77777777" w:rsidR="008E4BB6" w:rsidRPr="008E4BB6" w:rsidRDefault="008E4BB6" w:rsidP="008E4BB6">
      <w:pPr>
        <w:pStyle w:val="Body"/>
        <w:rPr>
          <w:color w:val="000000" w:themeColor="text1"/>
          <w:szCs w:val="18"/>
        </w:rPr>
      </w:pPr>
      <w:r w:rsidRPr="008E4BB6">
        <w:rPr>
          <w:color w:val="000000" w:themeColor="text1"/>
          <w:szCs w:val="18"/>
        </w:rPr>
        <w:t xml:space="preserve">Engels, B (1994) Capital flows, redlining and gentrification: the pattern of mortgage lending and social change in Glebe, Sydney, 1960-1984. </w:t>
      </w:r>
      <w:r w:rsidRPr="008E4BB6">
        <w:rPr>
          <w:i/>
          <w:iCs/>
          <w:color w:val="000000" w:themeColor="text1"/>
          <w:szCs w:val="18"/>
        </w:rPr>
        <w:t xml:space="preserve">International Journal of Urban and Regional Research </w:t>
      </w:r>
      <w:r w:rsidRPr="008E4BB6">
        <w:rPr>
          <w:color w:val="000000" w:themeColor="text1"/>
          <w:szCs w:val="18"/>
        </w:rPr>
        <w:t>18(4), p628-657</w:t>
      </w:r>
    </w:p>
    <w:p w14:paraId="7F5EBE7D" w14:textId="77777777" w:rsidR="008E4BB6" w:rsidRPr="008E4BB6" w:rsidRDefault="008E4BB6" w:rsidP="008E4BB6">
      <w:pPr>
        <w:pStyle w:val="Body"/>
        <w:rPr>
          <w:color w:val="000000" w:themeColor="text1"/>
          <w:szCs w:val="18"/>
        </w:rPr>
      </w:pPr>
    </w:p>
    <w:p w14:paraId="70BED085" w14:textId="77777777" w:rsidR="008E4BB6" w:rsidRPr="008E4BB6" w:rsidRDefault="008E4BB6" w:rsidP="008E4BB6">
      <w:pPr>
        <w:pStyle w:val="Body"/>
        <w:rPr>
          <w:color w:val="000000" w:themeColor="text1"/>
          <w:szCs w:val="18"/>
        </w:rPr>
      </w:pPr>
      <w:r w:rsidRPr="008E4BB6">
        <w:rPr>
          <w:color w:val="000000" w:themeColor="text1"/>
          <w:szCs w:val="18"/>
        </w:rPr>
        <w:t>Forrest, D; Glen, J; Ward, R (1996) The impact of light rail systems on the structure of house prices; a hedonic longitudinal study. Journal of Transport Economics. Policy 30(1), p15-29</w:t>
      </w:r>
    </w:p>
    <w:p w14:paraId="63527C1F" w14:textId="77777777" w:rsidR="008E4BB6" w:rsidRPr="008E4BB6" w:rsidRDefault="008E4BB6" w:rsidP="008E4BB6">
      <w:pPr>
        <w:pStyle w:val="Body"/>
        <w:rPr>
          <w:color w:val="000000" w:themeColor="text1"/>
          <w:szCs w:val="18"/>
        </w:rPr>
      </w:pPr>
    </w:p>
    <w:p w14:paraId="6E708A33" w14:textId="77777777" w:rsidR="008E4BB6" w:rsidRPr="008E4BB6" w:rsidRDefault="008E4BB6" w:rsidP="008E4BB6">
      <w:pPr>
        <w:pStyle w:val="Body"/>
        <w:rPr>
          <w:rStyle w:val="Hyperlink3"/>
          <w:rFonts w:asciiTheme="minorHAnsi" w:hAnsiTheme="minorHAnsi" w:cstheme="minorHAnsi"/>
          <w:color w:val="000000" w:themeColor="text1"/>
          <w:szCs w:val="18"/>
          <w:u w:val="none"/>
        </w:rPr>
      </w:pPr>
      <w:r w:rsidRPr="008E4BB6">
        <w:rPr>
          <w:color w:val="000000" w:themeColor="text1"/>
          <w:szCs w:val="18"/>
        </w:rPr>
        <w:t xml:space="preserve">Florida, R (2015) The Role of Public Investment in Gentrification. Available: </w:t>
      </w:r>
      <w:hyperlink r:id="rId23" w:history="1">
        <w:r w:rsidRPr="008E4BB6">
          <w:rPr>
            <w:rStyle w:val="Hyperlink3"/>
            <w:rFonts w:asciiTheme="minorHAnsi" w:hAnsiTheme="minorHAnsi" w:cstheme="minorHAnsi"/>
            <w:color w:val="000000" w:themeColor="text1"/>
            <w:szCs w:val="18"/>
            <w:u w:val="none"/>
          </w:rPr>
          <w:t>http://www.citylab.com/housing/2015/09/the-role-of-public-investment-in-gentrification/403324/</w:t>
        </w:r>
      </w:hyperlink>
    </w:p>
    <w:p w14:paraId="6E72B7AB" w14:textId="77777777" w:rsidR="008E4BB6" w:rsidRPr="008E4BB6" w:rsidRDefault="008E4BB6" w:rsidP="008E4BB6">
      <w:pPr>
        <w:pStyle w:val="Body"/>
        <w:rPr>
          <w:rStyle w:val="Link"/>
          <w:color w:val="000000" w:themeColor="text1"/>
          <w:szCs w:val="18"/>
          <w:u w:val="none"/>
        </w:rPr>
      </w:pPr>
    </w:p>
    <w:p w14:paraId="41FCFFC0" w14:textId="77777777" w:rsidR="008E4BB6" w:rsidRPr="008E4BB6" w:rsidRDefault="008E4BB6" w:rsidP="008E4BB6">
      <w:pPr>
        <w:pStyle w:val="Body"/>
        <w:rPr>
          <w:color w:val="000000" w:themeColor="text1"/>
          <w:szCs w:val="18"/>
        </w:rPr>
      </w:pPr>
      <w:r w:rsidRPr="008E4BB6">
        <w:rPr>
          <w:rStyle w:val="Link"/>
          <w:color w:val="000000" w:themeColor="text1"/>
          <w:szCs w:val="18"/>
          <w:u w:val="none"/>
        </w:rPr>
        <w:t>Freeman, L (2005) Displacement or succession? Residential mobility in gentrifying neighbourhoods. Urban Affairs Review. 40(4), p463-491</w:t>
      </w:r>
    </w:p>
    <w:p w14:paraId="21EC407E" w14:textId="77777777" w:rsidR="008E4BB6" w:rsidRPr="008E4BB6" w:rsidRDefault="008E4BB6" w:rsidP="008E4BB6">
      <w:pPr>
        <w:pStyle w:val="Body"/>
        <w:rPr>
          <w:color w:val="000000" w:themeColor="text1"/>
          <w:szCs w:val="18"/>
        </w:rPr>
      </w:pPr>
    </w:p>
    <w:p w14:paraId="7F72F025" w14:textId="77777777" w:rsidR="008E4BB6" w:rsidRPr="008E4BB6" w:rsidRDefault="008E4BB6" w:rsidP="008E4BB6">
      <w:pPr>
        <w:pStyle w:val="Body"/>
        <w:rPr>
          <w:rStyle w:val="Hyperlink3"/>
          <w:rFonts w:asciiTheme="minorHAnsi" w:hAnsiTheme="minorHAnsi" w:cstheme="minorHAnsi"/>
          <w:color w:val="000000" w:themeColor="text1"/>
          <w:szCs w:val="18"/>
          <w:u w:val="none"/>
        </w:rPr>
      </w:pPr>
      <w:r w:rsidRPr="008E4BB6">
        <w:rPr>
          <w:color w:val="000000" w:themeColor="text1"/>
          <w:szCs w:val="18"/>
        </w:rPr>
        <w:t xml:space="preserve">Garrett, T (2004) The costs and benefits of light-rail. Available at: </w:t>
      </w:r>
      <w:hyperlink r:id="rId24" w:history="1">
        <w:r w:rsidRPr="008E4BB6">
          <w:rPr>
            <w:rStyle w:val="Hyperlink3"/>
            <w:rFonts w:asciiTheme="minorHAnsi" w:hAnsiTheme="minorHAnsi" w:cstheme="minorHAnsi"/>
            <w:color w:val="000000" w:themeColor="text1"/>
            <w:szCs w:val="18"/>
            <w:u w:val="none"/>
          </w:rPr>
          <w:t>http://www.stlouisfed.org/publications/cb/articles/?id=863</w:t>
        </w:r>
      </w:hyperlink>
    </w:p>
    <w:p w14:paraId="7773BB7E" w14:textId="77777777" w:rsidR="008E4BB6" w:rsidRPr="008E4BB6" w:rsidRDefault="008E4BB6" w:rsidP="008E4BB6">
      <w:pPr>
        <w:pStyle w:val="Body"/>
        <w:rPr>
          <w:color w:val="000000" w:themeColor="text1"/>
          <w:szCs w:val="18"/>
        </w:rPr>
      </w:pPr>
    </w:p>
    <w:p w14:paraId="2DECBAF3" w14:textId="77777777" w:rsidR="008E4BB6" w:rsidRPr="008E4BB6" w:rsidRDefault="008E4BB6" w:rsidP="008E4BB6">
      <w:pPr>
        <w:pStyle w:val="Body"/>
        <w:rPr>
          <w:color w:val="000000" w:themeColor="text1"/>
          <w:szCs w:val="18"/>
        </w:rPr>
      </w:pPr>
      <w:r w:rsidRPr="008E4BB6">
        <w:rPr>
          <w:color w:val="000000" w:themeColor="text1"/>
          <w:szCs w:val="18"/>
        </w:rPr>
        <w:t>Giuliano, G (1989) Research Policy and Review 27: New directions for understanding transportation and land use. Environment and Planning A. 21, p145-159</w:t>
      </w:r>
    </w:p>
    <w:p w14:paraId="6DCCBE96" w14:textId="77777777" w:rsidR="008E4BB6" w:rsidRPr="008E4BB6" w:rsidRDefault="008E4BB6" w:rsidP="008E4BB6">
      <w:pPr>
        <w:pStyle w:val="Body"/>
        <w:rPr>
          <w:color w:val="000000" w:themeColor="text1"/>
          <w:szCs w:val="18"/>
        </w:rPr>
      </w:pPr>
    </w:p>
    <w:p w14:paraId="62B8772D" w14:textId="77777777" w:rsidR="008E4BB6" w:rsidRPr="008E4BB6" w:rsidRDefault="008E4BB6" w:rsidP="008E4BB6">
      <w:pPr>
        <w:pStyle w:val="Body"/>
        <w:rPr>
          <w:color w:val="000000" w:themeColor="text1"/>
          <w:szCs w:val="18"/>
        </w:rPr>
      </w:pPr>
      <w:r w:rsidRPr="008E4BB6">
        <w:rPr>
          <w:color w:val="000000" w:themeColor="text1"/>
          <w:szCs w:val="18"/>
        </w:rPr>
        <w:t>Glass, R (1964) Introduction to London: Aspects of Change. Centre for Urban Studies: Blackwell, Oxford London p132-158</w:t>
      </w:r>
    </w:p>
    <w:p w14:paraId="59C0EEC2" w14:textId="77777777" w:rsidR="008E4BB6" w:rsidRPr="008E4BB6" w:rsidRDefault="008E4BB6" w:rsidP="008E4BB6">
      <w:pPr>
        <w:pStyle w:val="Body"/>
        <w:rPr>
          <w:color w:val="000000" w:themeColor="text1"/>
          <w:szCs w:val="18"/>
        </w:rPr>
      </w:pPr>
    </w:p>
    <w:p w14:paraId="59947A84" w14:textId="77777777" w:rsidR="008E4BB6" w:rsidRPr="008E4BB6" w:rsidRDefault="008E4BB6" w:rsidP="008E4BB6">
      <w:pPr>
        <w:pStyle w:val="Body"/>
        <w:rPr>
          <w:color w:val="000000" w:themeColor="text1"/>
          <w:szCs w:val="18"/>
        </w:rPr>
      </w:pPr>
      <w:proofErr w:type="spellStart"/>
      <w:r w:rsidRPr="008E4BB6">
        <w:rPr>
          <w:color w:val="000000" w:themeColor="text1"/>
          <w:szCs w:val="18"/>
        </w:rPr>
        <w:t>Grengs</w:t>
      </w:r>
      <w:proofErr w:type="spellEnd"/>
      <w:r w:rsidRPr="008E4BB6">
        <w:rPr>
          <w:color w:val="000000" w:themeColor="text1"/>
          <w:szCs w:val="18"/>
        </w:rPr>
        <w:t>, J (2004) The abandoned social goals of public transit in the neo-liberal city of the USA. City 9(1), p51-66</w:t>
      </w:r>
    </w:p>
    <w:p w14:paraId="302D0554" w14:textId="77777777" w:rsidR="008E4BB6" w:rsidRPr="008E4BB6" w:rsidRDefault="008E4BB6" w:rsidP="008E4BB6">
      <w:pPr>
        <w:pStyle w:val="Body"/>
        <w:rPr>
          <w:color w:val="000000" w:themeColor="text1"/>
          <w:szCs w:val="18"/>
        </w:rPr>
      </w:pPr>
    </w:p>
    <w:p w14:paraId="4A322628" w14:textId="77777777" w:rsidR="008E4BB6" w:rsidRPr="008E4BB6" w:rsidRDefault="008E4BB6" w:rsidP="008E4BB6">
      <w:pPr>
        <w:pStyle w:val="Body"/>
        <w:rPr>
          <w:i/>
          <w:color w:val="000000" w:themeColor="text1"/>
          <w:szCs w:val="18"/>
        </w:rPr>
      </w:pPr>
      <w:proofErr w:type="spellStart"/>
      <w:r w:rsidRPr="008E4BB6">
        <w:rPr>
          <w:color w:val="000000" w:themeColor="text1"/>
          <w:szCs w:val="18"/>
        </w:rPr>
        <w:t>Grube</w:t>
      </w:r>
      <w:proofErr w:type="spellEnd"/>
      <w:r w:rsidRPr="008E4BB6">
        <w:rPr>
          <w:color w:val="000000" w:themeColor="text1"/>
          <w:szCs w:val="18"/>
        </w:rPr>
        <w:t xml:space="preserve">-Cavers, A; Patterson, Z (2013) Urban rapid rail transit and gentrification in Canadian urban centers: a survival analysis approach. </w:t>
      </w:r>
      <w:r w:rsidRPr="008E4BB6">
        <w:rPr>
          <w:i/>
          <w:color w:val="000000" w:themeColor="text1"/>
          <w:szCs w:val="18"/>
        </w:rPr>
        <w:t>Urban studies</w:t>
      </w:r>
    </w:p>
    <w:p w14:paraId="00EEA0AE" w14:textId="77777777" w:rsidR="008E4BB6" w:rsidRPr="008E4BB6" w:rsidRDefault="008E4BB6" w:rsidP="008E4BB6">
      <w:pPr>
        <w:pStyle w:val="Body"/>
        <w:rPr>
          <w:i/>
          <w:color w:val="000000" w:themeColor="text1"/>
          <w:szCs w:val="18"/>
        </w:rPr>
      </w:pPr>
    </w:p>
    <w:p w14:paraId="5D96E603" w14:textId="77777777" w:rsidR="008E4BB6" w:rsidRPr="008E4BB6" w:rsidRDefault="008E4BB6" w:rsidP="008E4BB6">
      <w:pPr>
        <w:pStyle w:val="Body"/>
        <w:rPr>
          <w:color w:val="000000" w:themeColor="text1"/>
          <w:szCs w:val="18"/>
        </w:rPr>
      </w:pPr>
      <w:r w:rsidRPr="008E4BB6">
        <w:rPr>
          <w:color w:val="000000" w:themeColor="text1"/>
          <w:szCs w:val="18"/>
        </w:rPr>
        <w:t xml:space="preserve">Hackworth, J (2007) The neoliberal city: governance, ideology and development in American urbanism. </w:t>
      </w:r>
      <w:r w:rsidRPr="008E4BB6">
        <w:rPr>
          <w:i/>
          <w:color w:val="000000" w:themeColor="text1"/>
          <w:szCs w:val="18"/>
        </w:rPr>
        <w:t>New York: Cornell University Press</w:t>
      </w:r>
      <w:r w:rsidRPr="008E4BB6">
        <w:rPr>
          <w:color w:val="000000" w:themeColor="text1"/>
          <w:szCs w:val="18"/>
        </w:rPr>
        <w:t xml:space="preserve"> p1-248</w:t>
      </w:r>
    </w:p>
    <w:p w14:paraId="0102E0C7" w14:textId="77777777" w:rsidR="008E4BB6" w:rsidRPr="008E4BB6" w:rsidRDefault="008E4BB6" w:rsidP="008E4BB6">
      <w:pPr>
        <w:pStyle w:val="Body"/>
        <w:rPr>
          <w:color w:val="000000" w:themeColor="text1"/>
          <w:szCs w:val="18"/>
        </w:rPr>
      </w:pPr>
    </w:p>
    <w:p w14:paraId="6675EF82" w14:textId="77777777" w:rsidR="008E4BB6" w:rsidRPr="008E4BB6" w:rsidRDefault="008E4BB6" w:rsidP="008E4BB6">
      <w:pPr>
        <w:pStyle w:val="Body"/>
        <w:rPr>
          <w:color w:val="000000" w:themeColor="text1"/>
          <w:szCs w:val="18"/>
        </w:rPr>
      </w:pPr>
      <w:proofErr w:type="spellStart"/>
      <w:r w:rsidRPr="008E4BB6">
        <w:rPr>
          <w:color w:val="000000" w:themeColor="text1"/>
          <w:szCs w:val="18"/>
        </w:rPr>
        <w:t>Hammel</w:t>
      </w:r>
      <w:proofErr w:type="spellEnd"/>
      <w:r w:rsidRPr="008E4BB6">
        <w:rPr>
          <w:color w:val="000000" w:themeColor="text1"/>
          <w:szCs w:val="18"/>
        </w:rPr>
        <w:t xml:space="preserve">, D.J; </w:t>
      </w:r>
      <w:proofErr w:type="spellStart"/>
      <w:r w:rsidRPr="008E4BB6">
        <w:rPr>
          <w:color w:val="000000" w:themeColor="text1"/>
          <w:szCs w:val="18"/>
        </w:rPr>
        <w:t>Wyly</w:t>
      </w:r>
      <w:proofErr w:type="spellEnd"/>
      <w:r w:rsidRPr="008E4BB6">
        <w:rPr>
          <w:color w:val="000000" w:themeColor="text1"/>
          <w:szCs w:val="18"/>
        </w:rPr>
        <w:t xml:space="preserve">, E.K (1996) A model for identifying gentrified areas with census data. </w:t>
      </w:r>
      <w:r w:rsidRPr="008E4BB6">
        <w:rPr>
          <w:i/>
          <w:color w:val="000000" w:themeColor="text1"/>
          <w:szCs w:val="18"/>
        </w:rPr>
        <w:t>Urban Geography</w:t>
      </w:r>
      <w:r w:rsidRPr="008E4BB6">
        <w:rPr>
          <w:color w:val="000000" w:themeColor="text1"/>
          <w:szCs w:val="18"/>
        </w:rPr>
        <w:t>. 17(3), p248-268</w:t>
      </w:r>
    </w:p>
    <w:p w14:paraId="5572376D" w14:textId="77777777" w:rsidR="008E4BB6" w:rsidRPr="008E4BB6" w:rsidRDefault="008E4BB6" w:rsidP="008E4BB6">
      <w:pPr>
        <w:pStyle w:val="Body"/>
        <w:rPr>
          <w:color w:val="000000" w:themeColor="text1"/>
          <w:szCs w:val="18"/>
        </w:rPr>
      </w:pPr>
    </w:p>
    <w:p w14:paraId="19C536CD" w14:textId="77777777" w:rsidR="008E4BB6" w:rsidRPr="008E4BB6" w:rsidRDefault="008E4BB6" w:rsidP="008E4BB6">
      <w:pPr>
        <w:pStyle w:val="Body"/>
        <w:rPr>
          <w:color w:val="000000" w:themeColor="text1"/>
          <w:szCs w:val="18"/>
        </w:rPr>
      </w:pPr>
      <w:r w:rsidRPr="008E4BB6">
        <w:rPr>
          <w:color w:val="000000" w:themeColor="text1"/>
          <w:szCs w:val="18"/>
        </w:rPr>
        <w:t>Hammel, D.J (2009) Gentrification in: International Encyclopedia of Human Geography p360-367</w:t>
      </w:r>
    </w:p>
    <w:p w14:paraId="3DD42705" w14:textId="77777777" w:rsidR="008E4BB6" w:rsidRPr="008E4BB6" w:rsidRDefault="008E4BB6" w:rsidP="008E4BB6">
      <w:pPr>
        <w:pStyle w:val="Body"/>
        <w:rPr>
          <w:color w:val="000000" w:themeColor="text1"/>
          <w:szCs w:val="18"/>
        </w:rPr>
      </w:pPr>
    </w:p>
    <w:p w14:paraId="0EE9CEC6" w14:textId="77777777" w:rsidR="008E4BB6" w:rsidRPr="008E4BB6" w:rsidRDefault="008E4BB6" w:rsidP="008E4BB6">
      <w:pPr>
        <w:pStyle w:val="Body"/>
        <w:rPr>
          <w:color w:val="000000" w:themeColor="text1"/>
          <w:szCs w:val="18"/>
        </w:rPr>
      </w:pPr>
      <w:r w:rsidRPr="008E4BB6">
        <w:rPr>
          <w:color w:val="000000" w:themeColor="text1"/>
          <w:szCs w:val="18"/>
        </w:rPr>
        <w:t xml:space="preserve">Hamnett, C (1984) Gentrification and residential location theory: a review and assessment. </w:t>
      </w:r>
      <w:r w:rsidRPr="008E4BB6">
        <w:rPr>
          <w:i/>
          <w:color w:val="000000" w:themeColor="text1"/>
          <w:szCs w:val="18"/>
        </w:rPr>
        <w:t>Geography and the Urban Environment</w:t>
      </w:r>
      <w:r w:rsidRPr="008E4BB6">
        <w:rPr>
          <w:color w:val="000000" w:themeColor="text1"/>
          <w:szCs w:val="18"/>
        </w:rPr>
        <w:t xml:space="preserve">. 6(1), p283-320 </w:t>
      </w:r>
    </w:p>
    <w:p w14:paraId="3AAE413F" w14:textId="77777777" w:rsidR="008E4BB6" w:rsidRPr="008E4BB6" w:rsidRDefault="008E4BB6" w:rsidP="008E4BB6">
      <w:pPr>
        <w:pStyle w:val="Body"/>
        <w:rPr>
          <w:color w:val="000000" w:themeColor="text1"/>
          <w:szCs w:val="18"/>
        </w:rPr>
      </w:pPr>
    </w:p>
    <w:p w14:paraId="4A09D405" w14:textId="77777777" w:rsidR="008E4BB6" w:rsidRPr="008E4BB6" w:rsidRDefault="008E4BB6" w:rsidP="008E4BB6">
      <w:pPr>
        <w:pStyle w:val="Body"/>
        <w:rPr>
          <w:color w:val="000000" w:themeColor="text1"/>
          <w:szCs w:val="18"/>
        </w:rPr>
      </w:pPr>
      <w:r w:rsidRPr="008E4BB6">
        <w:rPr>
          <w:color w:val="000000" w:themeColor="text1"/>
          <w:szCs w:val="18"/>
        </w:rPr>
        <w:t xml:space="preserve">Hamnett, C (1991) The blind men and the Elephant: The explanation of gentrification. </w:t>
      </w:r>
      <w:r w:rsidRPr="008E4BB6">
        <w:rPr>
          <w:i/>
          <w:color w:val="000000" w:themeColor="text1"/>
          <w:szCs w:val="18"/>
        </w:rPr>
        <w:t>Transactions of the Institute of British Geographers</w:t>
      </w:r>
      <w:r w:rsidRPr="008E4BB6">
        <w:rPr>
          <w:color w:val="000000" w:themeColor="text1"/>
          <w:szCs w:val="18"/>
        </w:rPr>
        <w:t>. 16(2), p173-189</w:t>
      </w:r>
    </w:p>
    <w:p w14:paraId="76179E40" w14:textId="77777777" w:rsidR="008E4BB6" w:rsidRPr="008E4BB6" w:rsidRDefault="008E4BB6" w:rsidP="008E4BB6">
      <w:pPr>
        <w:pStyle w:val="Body"/>
        <w:rPr>
          <w:color w:val="000000" w:themeColor="text1"/>
          <w:szCs w:val="18"/>
        </w:rPr>
      </w:pPr>
    </w:p>
    <w:p w14:paraId="031F06AC" w14:textId="77777777" w:rsidR="008E4BB6" w:rsidRPr="008E4BB6" w:rsidRDefault="008E4BB6" w:rsidP="008E4BB6">
      <w:pPr>
        <w:pStyle w:val="Body"/>
        <w:rPr>
          <w:color w:val="000000" w:themeColor="text1"/>
          <w:szCs w:val="18"/>
        </w:rPr>
      </w:pPr>
      <w:r w:rsidRPr="008E4BB6">
        <w:rPr>
          <w:color w:val="000000" w:themeColor="text1"/>
          <w:szCs w:val="18"/>
        </w:rPr>
        <w:t xml:space="preserve">Helms, A (2003) Understanding Gentrification: An Empirical Analysis of the Determinants of Urban Housing Renovation. </w:t>
      </w:r>
      <w:r w:rsidRPr="008E4BB6">
        <w:rPr>
          <w:i/>
          <w:iCs/>
          <w:color w:val="000000" w:themeColor="text1"/>
          <w:szCs w:val="18"/>
        </w:rPr>
        <w:t>Journal of Urban Economics</w:t>
      </w:r>
      <w:r w:rsidRPr="008E4BB6">
        <w:rPr>
          <w:color w:val="000000" w:themeColor="text1"/>
          <w:szCs w:val="18"/>
        </w:rPr>
        <w:t>. 51(1) p474-495</w:t>
      </w:r>
    </w:p>
    <w:p w14:paraId="584FAD0E" w14:textId="77777777" w:rsidR="008E4BB6" w:rsidRPr="008E4BB6" w:rsidRDefault="008E4BB6" w:rsidP="008E4BB6">
      <w:pPr>
        <w:pStyle w:val="Body"/>
        <w:rPr>
          <w:color w:val="000000" w:themeColor="text1"/>
          <w:szCs w:val="18"/>
        </w:rPr>
      </w:pPr>
    </w:p>
    <w:p w14:paraId="03AED140" w14:textId="77777777" w:rsidR="008E4BB6" w:rsidRPr="008E4BB6" w:rsidRDefault="008E4BB6" w:rsidP="008E4BB6">
      <w:pPr>
        <w:pStyle w:val="Body"/>
        <w:rPr>
          <w:color w:val="000000" w:themeColor="text1"/>
          <w:szCs w:val="18"/>
        </w:rPr>
      </w:pPr>
      <w:r w:rsidRPr="008E4BB6">
        <w:rPr>
          <w:color w:val="000000" w:themeColor="text1"/>
          <w:szCs w:val="18"/>
        </w:rPr>
        <w:t xml:space="preserve">Hodge, H (2013) Walking Distances to Public Transport – A South Yorkshire Study </w:t>
      </w:r>
    </w:p>
    <w:p w14:paraId="649E4297" w14:textId="77777777" w:rsidR="008E4BB6" w:rsidRPr="008E4BB6" w:rsidRDefault="008E4BB6" w:rsidP="008E4BB6">
      <w:pPr>
        <w:pStyle w:val="Body"/>
        <w:rPr>
          <w:color w:val="000000" w:themeColor="text1"/>
          <w:szCs w:val="18"/>
        </w:rPr>
      </w:pPr>
    </w:p>
    <w:p w14:paraId="266D797E" w14:textId="77777777" w:rsidR="008E4BB6" w:rsidRPr="008E4BB6" w:rsidRDefault="008E4BB6" w:rsidP="008E4BB6">
      <w:pPr>
        <w:pStyle w:val="Body"/>
        <w:rPr>
          <w:color w:val="000000" w:themeColor="text1"/>
          <w:szCs w:val="18"/>
        </w:rPr>
      </w:pPr>
      <w:r w:rsidRPr="008E4BB6">
        <w:rPr>
          <w:color w:val="000000" w:themeColor="text1"/>
          <w:szCs w:val="18"/>
        </w:rPr>
        <w:t xml:space="preserve">Hodgson et al (2013) Can bus really be the new tram? </w:t>
      </w:r>
      <w:r w:rsidRPr="008E4BB6">
        <w:rPr>
          <w:i/>
          <w:color w:val="000000" w:themeColor="text1"/>
          <w:szCs w:val="18"/>
        </w:rPr>
        <w:t>Research in Transportation Economics</w:t>
      </w:r>
      <w:r w:rsidRPr="008E4BB6">
        <w:rPr>
          <w:color w:val="000000" w:themeColor="text1"/>
          <w:szCs w:val="18"/>
        </w:rPr>
        <w:t>. 39(1), p158-166</w:t>
      </w:r>
    </w:p>
    <w:p w14:paraId="50DA9A0F" w14:textId="77777777" w:rsidR="008E4BB6" w:rsidRPr="008E4BB6" w:rsidRDefault="008E4BB6" w:rsidP="008E4BB6">
      <w:pPr>
        <w:pStyle w:val="Body"/>
        <w:rPr>
          <w:color w:val="000000" w:themeColor="text1"/>
          <w:szCs w:val="18"/>
        </w:rPr>
      </w:pPr>
    </w:p>
    <w:p w14:paraId="6D550FA2" w14:textId="77777777" w:rsidR="008E4BB6" w:rsidRPr="008E4BB6" w:rsidRDefault="008E4BB6" w:rsidP="008E4BB6">
      <w:pPr>
        <w:pStyle w:val="Body"/>
        <w:rPr>
          <w:color w:val="000000" w:themeColor="text1"/>
          <w:szCs w:val="18"/>
        </w:rPr>
      </w:pPr>
      <w:r w:rsidRPr="008E4BB6">
        <w:rPr>
          <w:color w:val="000000" w:themeColor="text1"/>
          <w:szCs w:val="18"/>
        </w:rPr>
        <w:t>Hurst, N; West, S (2014) Public transport and urban re-development: The effect of light rail transit on land use in Minneapolis, Minnesota, 46, p57-72</w:t>
      </w:r>
    </w:p>
    <w:p w14:paraId="7345A00D" w14:textId="77777777" w:rsidR="008E4BB6" w:rsidRPr="008E4BB6" w:rsidRDefault="008E4BB6" w:rsidP="008E4BB6">
      <w:pPr>
        <w:pStyle w:val="Body"/>
        <w:rPr>
          <w:color w:val="000000" w:themeColor="text1"/>
          <w:szCs w:val="18"/>
        </w:rPr>
      </w:pPr>
    </w:p>
    <w:p w14:paraId="511A09A2" w14:textId="77777777" w:rsidR="008E4BB6" w:rsidRPr="008E4BB6" w:rsidRDefault="008E4BB6" w:rsidP="008E4BB6">
      <w:pPr>
        <w:pStyle w:val="Body"/>
        <w:rPr>
          <w:rStyle w:val="Hyperlink3"/>
          <w:rFonts w:asciiTheme="minorHAnsi" w:hAnsiTheme="minorHAnsi" w:cstheme="minorHAnsi"/>
          <w:color w:val="000000" w:themeColor="text1"/>
          <w:szCs w:val="18"/>
          <w:u w:val="none"/>
        </w:rPr>
      </w:pPr>
      <w:r w:rsidRPr="008E4BB6">
        <w:rPr>
          <w:color w:val="000000" w:themeColor="text1"/>
          <w:szCs w:val="18"/>
        </w:rPr>
        <w:t xml:space="preserve">Insight (2015) Census 2011: Key and Quick Statistics. Available: </w:t>
      </w:r>
      <w:hyperlink r:id="rId25" w:history="1">
        <w:r w:rsidRPr="008E4BB6">
          <w:rPr>
            <w:rStyle w:val="Hyperlink3"/>
            <w:rFonts w:asciiTheme="minorHAnsi" w:hAnsiTheme="minorHAnsi" w:cstheme="minorHAnsi"/>
            <w:color w:val="000000" w:themeColor="text1"/>
            <w:szCs w:val="18"/>
            <w:u w:val="none"/>
          </w:rPr>
          <w:t>http://nottinghaminsight.org.uk/IAS/profiles/profile?profileId=661&amp;geoTypeId=1&amp;geoIds=00FY</w:t>
        </w:r>
      </w:hyperlink>
    </w:p>
    <w:p w14:paraId="6EF06FE1" w14:textId="77777777" w:rsidR="008E4BB6" w:rsidRPr="008E4BB6" w:rsidRDefault="008E4BB6" w:rsidP="008E4BB6">
      <w:pPr>
        <w:pStyle w:val="Body"/>
        <w:rPr>
          <w:color w:val="000000" w:themeColor="text1"/>
          <w:szCs w:val="18"/>
        </w:rPr>
      </w:pPr>
    </w:p>
    <w:p w14:paraId="1900F763" w14:textId="77777777" w:rsidR="008E4BB6" w:rsidRPr="008E4BB6" w:rsidRDefault="008E4BB6" w:rsidP="008E4BB6">
      <w:pPr>
        <w:pStyle w:val="Body"/>
        <w:rPr>
          <w:color w:val="000000" w:themeColor="text1"/>
          <w:szCs w:val="18"/>
        </w:rPr>
      </w:pPr>
      <w:r w:rsidRPr="008E4BB6">
        <w:rPr>
          <w:color w:val="000000" w:themeColor="text1"/>
          <w:szCs w:val="18"/>
        </w:rPr>
        <w:t xml:space="preserve">Johnson, D; </w:t>
      </w:r>
      <w:proofErr w:type="spellStart"/>
      <w:r w:rsidRPr="008E4BB6">
        <w:rPr>
          <w:color w:val="000000" w:themeColor="text1"/>
          <w:szCs w:val="18"/>
        </w:rPr>
        <w:t>Abrantes</w:t>
      </w:r>
      <w:proofErr w:type="spellEnd"/>
      <w:r w:rsidRPr="008E4BB6">
        <w:rPr>
          <w:color w:val="000000" w:themeColor="text1"/>
          <w:szCs w:val="18"/>
        </w:rPr>
        <w:t xml:space="preserve">, P; </w:t>
      </w:r>
      <w:proofErr w:type="spellStart"/>
      <w:r w:rsidRPr="008E4BB6">
        <w:rPr>
          <w:color w:val="000000" w:themeColor="text1"/>
          <w:szCs w:val="18"/>
        </w:rPr>
        <w:t>Wardman</w:t>
      </w:r>
      <w:proofErr w:type="spellEnd"/>
      <w:r w:rsidRPr="008E4BB6">
        <w:rPr>
          <w:color w:val="000000" w:themeColor="text1"/>
          <w:szCs w:val="18"/>
        </w:rPr>
        <w:t>, M (2008) Support to UK Tram Activity 7 Work Group Benefits Involved in Appraisal Process - “Analysis of Quantitative Research on Quality Attributes for Trams’ by Institute for Transport Studies - University of Leeds. 1(1), p1-57</w:t>
      </w:r>
    </w:p>
    <w:p w14:paraId="551F5320" w14:textId="77777777" w:rsidR="008E4BB6" w:rsidRPr="008E4BB6" w:rsidRDefault="008E4BB6" w:rsidP="008E4BB6">
      <w:pPr>
        <w:pStyle w:val="Body"/>
        <w:rPr>
          <w:color w:val="000000" w:themeColor="text1"/>
          <w:szCs w:val="18"/>
        </w:rPr>
      </w:pPr>
    </w:p>
    <w:p w14:paraId="2DC4DB60" w14:textId="77777777" w:rsidR="008E4BB6" w:rsidRPr="008E4BB6" w:rsidRDefault="008E4BB6" w:rsidP="008E4BB6">
      <w:pPr>
        <w:pStyle w:val="Body"/>
        <w:rPr>
          <w:rStyle w:val="Hyperlink"/>
          <w:color w:val="000000" w:themeColor="text1"/>
          <w:szCs w:val="18"/>
          <w:u w:val="none"/>
        </w:rPr>
      </w:pPr>
      <w:r w:rsidRPr="008E4BB6">
        <w:rPr>
          <w:color w:val="000000" w:themeColor="text1"/>
          <w:szCs w:val="18"/>
        </w:rPr>
        <w:t xml:space="preserve">JR (1999) </w:t>
      </w:r>
      <w:proofErr w:type="spellStart"/>
      <w:r w:rsidRPr="008E4BB6">
        <w:rPr>
          <w:color w:val="000000" w:themeColor="text1"/>
          <w:szCs w:val="18"/>
        </w:rPr>
        <w:t>Neighbourhood</w:t>
      </w:r>
      <w:proofErr w:type="spellEnd"/>
      <w:r w:rsidRPr="008E4BB6">
        <w:rPr>
          <w:color w:val="000000" w:themeColor="text1"/>
          <w:szCs w:val="18"/>
        </w:rPr>
        <w:t xml:space="preserve"> images in Nottingham</w:t>
      </w:r>
      <w:r w:rsidRPr="008E4BB6">
        <w:rPr>
          <w:color w:val="000000" w:themeColor="text1"/>
          <w:szCs w:val="18"/>
        </w:rPr>
        <w:softHyphen/>
        <w:t xml:space="preserve"> – Findings Report. Available: </w:t>
      </w:r>
      <w:hyperlink r:id="rId26" w:history="1">
        <w:r w:rsidRPr="008E4BB6">
          <w:rPr>
            <w:rStyle w:val="Hyperlink"/>
            <w:color w:val="000000" w:themeColor="text1"/>
            <w:szCs w:val="18"/>
            <w:u w:val="none"/>
          </w:rPr>
          <w:t>https://www.jrf.org.uk/report/neighbourhood-images-nottingham</w:t>
        </w:r>
      </w:hyperlink>
    </w:p>
    <w:p w14:paraId="7420C92A" w14:textId="77777777" w:rsidR="008E4BB6" w:rsidRPr="008E4BB6" w:rsidRDefault="008E4BB6" w:rsidP="008E4BB6">
      <w:pPr>
        <w:pStyle w:val="Body"/>
        <w:rPr>
          <w:rStyle w:val="Hyperlink"/>
          <w:color w:val="000000" w:themeColor="text1"/>
          <w:szCs w:val="18"/>
          <w:u w:val="none"/>
        </w:rPr>
      </w:pPr>
    </w:p>
    <w:p w14:paraId="28D2418D" w14:textId="77777777" w:rsidR="008E4BB6" w:rsidRPr="008E4BB6" w:rsidRDefault="008E4BB6" w:rsidP="008E4BB6">
      <w:pPr>
        <w:pStyle w:val="Body"/>
        <w:rPr>
          <w:color w:val="000000" w:themeColor="text1"/>
          <w:szCs w:val="18"/>
        </w:rPr>
      </w:pPr>
      <w:r w:rsidRPr="008E4BB6">
        <w:rPr>
          <w:rStyle w:val="Hyperlink"/>
          <w:color w:val="000000" w:themeColor="text1"/>
          <w:szCs w:val="18"/>
          <w:u w:val="none"/>
        </w:rPr>
        <w:t xml:space="preserve">Kahn, M (2007) Gentrification trends in new transit-oriented communities: evidence from 14 cities that expanded and built rail transit systems. </w:t>
      </w:r>
      <w:r w:rsidRPr="008E4BB6">
        <w:rPr>
          <w:rStyle w:val="Hyperlink"/>
          <w:i/>
          <w:color w:val="000000" w:themeColor="text1"/>
          <w:szCs w:val="18"/>
          <w:u w:val="none"/>
        </w:rPr>
        <w:t>Real Estate Economics</w:t>
      </w:r>
      <w:r w:rsidRPr="008E4BB6">
        <w:rPr>
          <w:rStyle w:val="Hyperlink"/>
          <w:color w:val="000000" w:themeColor="text1"/>
          <w:szCs w:val="18"/>
          <w:u w:val="none"/>
        </w:rPr>
        <w:t>. 35(2) p155-182</w:t>
      </w:r>
    </w:p>
    <w:p w14:paraId="25298A47" w14:textId="77777777" w:rsidR="008E4BB6" w:rsidRPr="008E4BB6" w:rsidRDefault="008E4BB6" w:rsidP="008E4BB6">
      <w:pPr>
        <w:pStyle w:val="Body"/>
        <w:rPr>
          <w:color w:val="000000" w:themeColor="text1"/>
          <w:szCs w:val="18"/>
        </w:rPr>
      </w:pPr>
    </w:p>
    <w:p w14:paraId="45AA8748" w14:textId="77777777" w:rsidR="008E4BB6" w:rsidRPr="008E4BB6" w:rsidRDefault="008E4BB6" w:rsidP="008E4BB6">
      <w:pPr>
        <w:pStyle w:val="Body"/>
        <w:rPr>
          <w:color w:val="000000" w:themeColor="text1"/>
          <w:szCs w:val="18"/>
        </w:rPr>
      </w:pPr>
      <w:r w:rsidRPr="008E4BB6">
        <w:rPr>
          <w:color w:val="000000" w:themeColor="text1"/>
          <w:szCs w:val="18"/>
        </w:rPr>
        <w:t>Knowles, R.D (2006) Transport shaping space: differential collapse in time-space. Journal of Transportation Geography. 13, p407-425</w:t>
      </w:r>
    </w:p>
    <w:p w14:paraId="3A14A58E" w14:textId="77777777" w:rsidR="008E4BB6" w:rsidRPr="008E4BB6" w:rsidRDefault="008E4BB6" w:rsidP="008E4BB6">
      <w:pPr>
        <w:pStyle w:val="Body"/>
        <w:rPr>
          <w:color w:val="000000" w:themeColor="text1"/>
          <w:szCs w:val="18"/>
        </w:rPr>
      </w:pPr>
    </w:p>
    <w:p w14:paraId="45200E9B" w14:textId="77777777" w:rsidR="008E4BB6" w:rsidRPr="008E4BB6" w:rsidRDefault="008E4BB6" w:rsidP="008E4BB6">
      <w:pPr>
        <w:pStyle w:val="Body"/>
        <w:rPr>
          <w:color w:val="000000" w:themeColor="text1"/>
          <w:szCs w:val="18"/>
        </w:rPr>
      </w:pPr>
      <w:r w:rsidRPr="008E4BB6">
        <w:rPr>
          <w:color w:val="000000" w:themeColor="text1"/>
          <w:szCs w:val="18"/>
        </w:rPr>
        <w:t xml:space="preserve">Knowles, R.D. (2007) What future for light rail in the UK after Ten Year Transport Plan targets are scrapped? </w:t>
      </w:r>
      <w:r w:rsidRPr="008E4BB6">
        <w:rPr>
          <w:i/>
          <w:color w:val="000000" w:themeColor="text1"/>
          <w:szCs w:val="18"/>
        </w:rPr>
        <w:t>Transport Policy</w:t>
      </w:r>
      <w:r w:rsidRPr="008E4BB6">
        <w:rPr>
          <w:color w:val="000000" w:themeColor="text1"/>
          <w:szCs w:val="18"/>
        </w:rPr>
        <w:t>. 14(1), p81-93</w:t>
      </w:r>
    </w:p>
    <w:p w14:paraId="79DD17DD" w14:textId="77777777" w:rsidR="008E4BB6" w:rsidRPr="008E4BB6" w:rsidRDefault="008E4BB6" w:rsidP="008E4BB6">
      <w:pPr>
        <w:pStyle w:val="Body"/>
        <w:rPr>
          <w:color w:val="000000" w:themeColor="text1"/>
          <w:szCs w:val="18"/>
        </w:rPr>
      </w:pPr>
    </w:p>
    <w:p w14:paraId="31E96509" w14:textId="77777777" w:rsidR="008E4BB6" w:rsidRPr="008E4BB6" w:rsidRDefault="008E4BB6" w:rsidP="008E4BB6">
      <w:pPr>
        <w:pStyle w:val="Body"/>
        <w:rPr>
          <w:color w:val="000000" w:themeColor="text1"/>
          <w:szCs w:val="18"/>
        </w:rPr>
      </w:pPr>
      <w:r w:rsidRPr="008E4BB6">
        <w:rPr>
          <w:color w:val="000000" w:themeColor="text1"/>
          <w:szCs w:val="18"/>
        </w:rPr>
        <w:t xml:space="preserve">Knowles, R.D; Ferbrache, F (2014) An investigation into the economic impacts on cities of investment in light-rail systems. A Report for UKTram. 1(1), p1-88. </w:t>
      </w:r>
    </w:p>
    <w:p w14:paraId="61D5C589" w14:textId="77777777" w:rsidR="008E4BB6" w:rsidRPr="008E4BB6" w:rsidRDefault="008E4BB6" w:rsidP="008E4BB6">
      <w:pPr>
        <w:pStyle w:val="Body"/>
        <w:rPr>
          <w:color w:val="000000" w:themeColor="text1"/>
          <w:szCs w:val="18"/>
        </w:rPr>
      </w:pPr>
    </w:p>
    <w:p w14:paraId="61080C9B" w14:textId="77777777" w:rsidR="008E4BB6" w:rsidRPr="008E4BB6" w:rsidRDefault="008E4BB6" w:rsidP="008E4BB6">
      <w:pPr>
        <w:pStyle w:val="Body"/>
        <w:rPr>
          <w:color w:val="000000" w:themeColor="text1"/>
          <w:szCs w:val="18"/>
        </w:rPr>
      </w:pPr>
      <w:r w:rsidRPr="008E4BB6">
        <w:rPr>
          <w:color w:val="000000" w:themeColor="text1"/>
          <w:szCs w:val="18"/>
        </w:rPr>
        <w:t>Knowles, R.D; Ferbrache, F (2015) Evaluation of the wider economic impacts of light rail investment on cities. Journal of Transport Geography</w:t>
      </w:r>
    </w:p>
    <w:p w14:paraId="0CD88F79" w14:textId="77777777" w:rsidR="008E4BB6" w:rsidRPr="008E4BB6" w:rsidRDefault="008E4BB6" w:rsidP="008E4BB6">
      <w:pPr>
        <w:pStyle w:val="Body"/>
        <w:rPr>
          <w:color w:val="000000" w:themeColor="text1"/>
          <w:szCs w:val="18"/>
        </w:rPr>
      </w:pPr>
    </w:p>
    <w:p w14:paraId="6B04BD6A" w14:textId="77777777" w:rsidR="008E4BB6" w:rsidRPr="008E4BB6" w:rsidRDefault="008E4BB6" w:rsidP="008E4BB6">
      <w:pPr>
        <w:pStyle w:val="Body"/>
        <w:rPr>
          <w:color w:val="000000" w:themeColor="text1"/>
          <w:szCs w:val="18"/>
        </w:rPr>
      </w:pPr>
      <w:proofErr w:type="spellStart"/>
      <w:r w:rsidRPr="008E4BB6">
        <w:rPr>
          <w:color w:val="000000" w:themeColor="text1"/>
          <w:szCs w:val="18"/>
        </w:rPr>
        <w:t>Laska</w:t>
      </w:r>
      <w:proofErr w:type="spellEnd"/>
      <w:r w:rsidRPr="008E4BB6">
        <w:rPr>
          <w:color w:val="000000" w:themeColor="text1"/>
          <w:szCs w:val="18"/>
        </w:rPr>
        <w:t xml:space="preserve">, S; Seaman, J; </w:t>
      </w:r>
      <w:proofErr w:type="spellStart"/>
      <w:r w:rsidRPr="008E4BB6">
        <w:rPr>
          <w:color w:val="000000" w:themeColor="text1"/>
          <w:szCs w:val="18"/>
        </w:rPr>
        <w:t>McSeveney</w:t>
      </w:r>
      <w:proofErr w:type="spellEnd"/>
      <w:r w:rsidRPr="008E4BB6">
        <w:rPr>
          <w:color w:val="000000" w:themeColor="text1"/>
          <w:szCs w:val="18"/>
        </w:rPr>
        <w:t xml:space="preserve">, D (1982) Inner city reinvestment: neighborhood characteristics and spatial patterns over time. </w:t>
      </w:r>
      <w:r w:rsidRPr="008E4BB6">
        <w:rPr>
          <w:i/>
          <w:color w:val="000000" w:themeColor="text1"/>
          <w:szCs w:val="18"/>
        </w:rPr>
        <w:t>Urban Studies</w:t>
      </w:r>
      <w:r w:rsidRPr="008E4BB6">
        <w:rPr>
          <w:color w:val="000000" w:themeColor="text1"/>
          <w:szCs w:val="18"/>
        </w:rPr>
        <w:t>, 19(1), p155-165</w:t>
      </w:r>
    </w:p>
    <w:p w14:paraId="2FE38F02" w14:textId="77777777" w:rsidR="008E4BB6" w:rsidRPr="008E4BB6" w:rsidRDefault="008E4BB6" w:rsidP="008E4BB6">
      <w:pPr>
        <w:pStyle w:val="Body"/>
        <w:rPr>
          <w:color w:val="000000" w:themeColor="text1"/>
          <w:szCs w:val="18"/>
        </w:rPr>
      </w:pPr>
    </w:p>
    <w:p w14:paraId="47F2112C" w14:textId="77777777" w:rsidR="008E4BB6" w:rsidRPr="008E4BB6" w:rsidRDefault="008E4BB6" w:rsidP="008E4BB6">
      <w:pPr>
        <w:pStyle w:val="Body"/>
        <w:rPr>
          <w:color w:val="000000" w:themeColor="text1"/>
          <w:szCs w:val="18"/>
        </w:rPr>
      </w:pPr>
      <w:r w:rsidRPr="008E4BB6">
        <w:rPr>
          <w:color w:val="000000" w:themeColor="text1"/>
          <w:szCs w:val="18"/>
        </w:rPr>
        <w:t>Lester, T.W; Hartley, D.A (2014) The long term employment impacts of gentrification in the 1990s. Regional Science and Urban Economics. 45(1), p80-89</w:t>
      </w:r>
    </w:p>
    <w:p w14:paraId="2C89AFD5" w14:textId="77777777" w:rsidR="008E4BB6" w:rsidRPr="008E4BB6" w:rsidRDefault="008E4BB6" w:rsidP="008E4BB6">
      <w:pPr>
        <w:pStyle w:val="Body"/>
        <w:rPr>
          <w:color w:val="000000" w:themeColor="text1"/>
          <w:szCs w:val="18"/>
        </w:rPr>
      </w:pPr>
    </w:p>
    <w:p w14:paraId="392B58F8" w14:textId="77777777" w:rsidR="008E4BB6" w:rsidRPr="008E4BB6" w:rsidRDefault="008E4BB6" w:rsidP="008E4BB6">
      <w:pPr>
        <w:pStyle w:val="Body"/>
        <w:rPr>
          <w:color w:val="000000" w:themeColor="text1"/>
          <w:szCs w:val="18"/>
        </w:rPr>
      </w:pPr>
      <w:r w:rsidRPr="008E4BB6">
        <w:rPr>
          <w:color w:val="000000" w:themeColor="text1"/>
          <w:szCs w:val="18"/>
        </w:rPr>
        <w:t xml:space="preserve">Lee, S.S; Senior, M.L (2013) Do light rail services discourage car ownership and use? Evidence from census data for four English cities. </w:t>
      </w:r>
      <w:r w:rsidRPr="008E4BB6">
        <w:rPr>
          <w:i/>
          <w:color w:val="000000" w:themeColor="text1"/>
          <w:szCs w:val="18"/>
        </w:rPr>
        <w:t>Journal of Transport Geography</w:t>
      </w:r>
      <w:r w:rsidRPr="008E4BB6">
        <w:rPr>
          <w:color w:val="000000" w:themeColor="text1"/>
          <w:szCs w:val="18"/>
        </w:rPr>
        <w:t>. 29(1), p11-23</w:t>
      </w:r>
    </w:p>
    <w:p w14:paraId="4F00ECB9" w14:textId="77777777" w:rsidR="008E4BB6" w:rsidRPr="008E4BB6" w:rsidRDefault="008E4BB6" w:rsidP="008E4BB6">
      <w:pPr>
        <w:pStyle w:val="Body"/>
        <w:rPr>
          <w:color w:val="000000" w:themeColor="text1"/>
          <w:szCs w:val="18"/>
        </w:rPr>
      </w:pPr>
    </w:p>
    <w:p w14:paraId="71864BBF" w14:textId="77777777" w:rsidR="008E4BB6" w:rsidRPr="008E4BB6" w:rsidRDefault="008E4BB6" w:rsidP="008E4BB6">
      <w:pPr>
        <w:pStyle w:val="Body"/>
        <w:rPr>
          <w:color w:val="000000" w:themeColor="text1"/>
          <w:szCs w:val="18"/>
        </w:rPr>
      </w:pPr>
      <w:r w:rsidRPr="008E4BB6">
        <w:rPr>
          <w:color w:val="000000" w:themeColor="text1"/>
          <w:szCs w:val="18"/>
        </w:rPr>
        <w:t xml:space="preserve">Ley, D (1980) Liberal Ideology and the Postindustrial City. </w:t>
      </w:r>
      <w:r w:rsidRPr="008E4BB6">
        <w:rPr>
          <w:i/>
          <w:iCs/>
          <w:color w:val="000000" w:themeColor="text1"/>
          <w:szCs w:val="18"/>
        </w:rPr>
        <w:t xml:space="preserve">Annals of the Association of American Geographers, </w:t>
      </w:r>
      <w:r w:rsidRPr="008E4BB6">
        <w:rPr>
          <w:color w:val="000000" w:themeColor="text1"/>
          <w:szCs w:val="18"/>
        </w:rPr>
        <w:t>70(2), p238-258</w:t>
      </w:r>
    </w:p>
    <w:p w14:paraId="4814D6B9" w14:textId="77777777" w:rsidR="008E4BB6" w:rsidRPr="008E4BB6" w:rsidRDefault="008E4BB6" w:rsidP="008E4BB6">
      <w:pPr>
        <w:pStyle w:val="Body"/>
        <w:rPr>
          <w:color w:val="000000" w:themeColor="text1"/>
          <w:szCs w:val="18"/>
        </w:rPr>
      </w:pPr>
    </w:p>
    <w:p w14:paraId="627E4641" w14:textId="77777777" w:rsidR="008E4BB6" w:rsidRPr="008E4BB6" w:rsidRDefault="008E4BB6" w:rsidP="008E4BB6">
      <w:pPr>
        <w:pStyle w:val="Body"/>
        <w:rPr>
          <w:color w:val="000000" w:themeColor="text1"/>
          <w:szCs w:val="18"/>
        </w:rPr>
      </w:pPr>
      <w:r w:rsidRPr="008E4BB6">
        <w:rPr>
          <w:color w:val="000000" w:themeColor="text1"/>
          <w:szCs w:val="18"/>
        </w:rPr>
        <w:t xml:space="preserve">Lees, L; Slater, T; </w:t>
      </w:r>
      <w:proofErr w:type="spellStart"/>
      <w:r w:rsidRPr="008E4BB6">
        <w:rPr>
          <w:color w:val="000000" w:themeColor="text1"/>
          <w:szCs w:val="18"/>
        </w:rPr>
        <w:t>Wyly</w:t>
      </w:r>
      <w:proofErr w:type="spellEnd"/>
      <w:r w:rsidRPr="008E4BB6">
        <w:rPr>
          <w:color w:val="000000" w:themeColor="text1"/>
          <w:szCs w:val="18"/>
        </w:rPr>
        <w:t>, E (2008) Gentrification.</w:t>
      </w:r>
      <w:r w:rsidRPr="008E4BB6">
        <w:rPr>
          <w:i/>
          <w:iCs/>
          <w:color w:val="000000" w:themeColor="text1"/>
          <w:szCs w:val="18"/>
        </w:rPr>
        <w:t xml:space="preserve"> New York: Routledge</w:t>
      </w:r>
      <w:r w:rsidRPr="008E4BB6">
        <w:rPr>
          <w:color w:val="000000" w:themeColor="text1"/>
          <w:szCs w:val="18"/>
        </w:rPr>
        <w:t xml:space="preserve">. </w:t>
      </w:r>
    </w:p>
    <w:p w14:paraId="215A1DA8" w14:textId="77777777" w:rsidR="008E4BB6" w:rsidRPr="008E4BB6" w:rsidRDefault="008E4BB6" w:rsidP="008E4BB6">
      <w:pPr>
        <w:pStyle w:val="Body"/>
        <w:rPr>
          <w:color w:val="000000" w:themeColor="text1"/>
          <w:szCs w:val="18"/>
        </w:rPr>
      </w:pPr>
    </w:p>
    <w:p w14:paraId="19307B0B" w14:textId="77777777" w:rsidR="008E4BB6" w:rsidRPr="008E4BB6" w:rsidRDefault="008E4BB6" w:rsidP="008E4BB6">
      <w:pPr>
        <w:pStyle w:val="Body"/>
        <w:rPr>
          <w:color w:val="000000" w:themeColor="text1"/>
          <w:szCs w:val="18"/>
        </w:rPr>
      </w:pPr>
      <w:r w:rsidRPr="008E4BB6">
        <w:rPr>
          <w:color w:val="000000" w:themeColor="text1"/>
          <w:szCs w:val="18"/>
        </w:rPr>
        <w:t xml:space="preserve">Lin, J (2002) Gentrification and Transit in Northwest Chicago, </w:t>
      </w:r>
      <w:r w:rsidRPr="008E4BB6">
        <w:rPr>
          <w:i/>
          <w:color w:val="000000" w:themeColor="text1"/>
          <w:szCs w:val="18"/>
        </w:rPr>
        <w:t>Transportation Quarterly</w:t>
      </w:r>
      <w:r w:rsidRPr="008E4BB6">
        <w:rPr>
          <w:color w:val="000000" w:themeColor="text1"/>
          <w:szCs w:val="18"/>
        </w:rPr>
        <w:t>. 56(4) p235-263</w:t>
      </w:r>
    </w:p>
    <w:p w14:paraId="73ED13A2" w14:textId="77777777" w:rsidR="008E4BB6" w:rsidRPr="008E4BB6" w:rsidRDefault="008E4BB6" w:rsidP="008E4BB6">
      <w:pPr>
        <w:pStyle w:val="Body"/>
        <w:rPr>
          <w:color w:val="000000" w:themeColor="text1"/>
          <w:szCs w:val="18"/>
        </w:rPr>
      </w:pPr>
    </w:p>
    <w:p w14:paraId="6917285B" w14:textId="77777777" w:rsidR="008E4BB6" w:rsidRPr="008E4BB6" w:rsidRDefault="008E4BB6" w:rsidP="008E4BB6">
      <w:pPr>
        <w:pStyle w:val="Body"/>
        <w:rPr>
          <w:color w:val="000000" w:themeColor="text1"/>
          <w:szCs w:val="18"/>
        </w:rPr>
      </w:pPr>
      <w:proofErr w:type="spellStart"/>
      <w:r w:rsidRPr="008E4BB6">
        <w:rPr>
          <w:color w:val="000000" w:themeColor="text1"/>
          <w:szCs w:val="18"/>
        </w:rPr>
        <w:t>LiRA</w:t>
      </w:r>
      <w:proofErr w:type="spellEnd"/>
      <w:r w:rsidRPr="008E4BB6">
        <w:rPr>
          <w:color w:val="000000" w:themeColor="text1"/>
          <w:szCs w:val="18"/>
        </w:rPr>
        <w:t xml:space="preserve"> (2000) Pilot 3: Light Rail, Economic Impact and Real Estate Development</w:t>
      </w:r>
    </w:p>
    <w:p w14:paraId="38742AAA" w14:textId="77777777" w:rsidR="008E4BB6" w:rsidRPr="008E4BB6" w:rsidRDefault="008E4BB6" w:rsidP="008E4BB6">
      <w:pPr>
        <w:pStyle w:val="Body"/>
        <w:rPr>
          <w:color w:val="000000" w:themeColor="text1"/>
          <w:szCs w:val="18"/>
        </w:rPr>
      </w:pPr>
    </w:p>
    <w:p w14:paraId="5B957C0C" w14:textId="77777777" w:rsidR="008E4BB6" w:rsidRPr="008E4BB6" w:rsidRDefault="008E4BB6" w:rsidP="008E4BB6">
      <w:pPr>
        <w:pStyle w:val="Body"/>
        <w:rPr>
          <w:color w:val="000000" w:themeColor="text1"/>
          <w:szCs w:val="18"/>
        </w:rPr>
      </w:pPr>
      <w:r w:rsidRPr="008E4BB6">
        <w:rPr>
          <w:color w:val="000000" w:themeColor="text1"/>
          <w:szCs w:val="18"/>
        </w:rPr>
        <w:t xml:space="preserve">Litman, T (2015) Land use impacts on transport – how land use factors affect travel </w:t>
      </w:r>
      <w:proofErr w:type="spellStart"/>
      <w:r w:rsidRPr="008E4BB6">
        <w:rPr>
          <w:color w:val="000000" w:themeColor="text1"/>
          <w:szCs w:val="18"/>
        </w:rPr>
        <w:t>behaviour</w:t>
      </w:r>
      <w:proofErr w:type="spellEnd"/>
      <w:r w:rsidRPr="008E4BB6">
        <w:rPr>
          <w:color w:val="000000" w:themeColor="text1"/>
          <w:szCs w:val="18"/>
        </w:rPr>
        <w:t xml:space="preserve">. </w:t>
      </w:r>
      <w:r w:rsidRPr="008E4BB6">
        <w:rPr>
          <w:i/>
          <w:color w:val="000000" w:themeColor="text1"/>
          <w:szCs w:val="18"/>
        </w:rPr>
        <w:t>Victoria Transport Policy Institute</w:t>
      </w:r>
      <w:r w:rsidRPr="008E4BB6">
        <w:rPr>
          <w:color w:val="000000" w:themeColor="text1"/>
          <w:szCs w:val="18"/>
        </w:rPr>
        <w:t>. 1(1), p1-85</w:t>
      </w:r>
    </w:p>
    <w:p w14:paraId="10C4AC5B" w14:textId="77777777" w:rsidR="008E4BB6" w:rsidRPr="008E4BB6" w:rsidRDefault="008E4BB6" w:rsidP="008E4BB6">
      <w:pPr>
        <w:pStyle w:val="Body"/>
        <w:rPr>
          <w:color w:val="000000" w:themeColor="text1"/>
          <w:szCs w:val="18"/>
        </w:rPr>
      </w:pPr>
    </w:p>
    <w:p w14:paraId="6414EA49" w14:textId="77777777" w:rsidR="008E4BB6" w:rsidRPr="008E4BB6" w:rsidRDefault="008E4BB6" w:rsidP="008E4BB6">
      <w:pPr>
        <w:pStyle w:val="Body"/>
        <w:rPr>
          <w:color w:val="000000" w:themeColor="text1"/>
          <w:szCs w:val="18"/>
        </w:rPr>
      </w:pPr>
      <w:r w:rsidRPr="008E4BB6">
        <w:rPr>
          <w:color w:val="000000" w:themeColor="text1"/>
          <w:szCs w:val="18"/>
        </w:rPr>
        <w:t xml:space="preserve">Luttik, J (2000) The value of trees, water and open space as reflected by house prices in the Netherlands. </w:t>
      </w:r>
      <w:r w:rsidRPr="008E4BB6">
        <w:rPr>
          <w:i/>
          <w:color w:val="000000" w:themeColor="text1"/>
          <w:szCs w:val="18"/>
        </w:rPr>
        <w:t>Landscape and Urban Planning</w:t>
      </w:r>
      <w:r w:rsidRPr="008E4BB6">
        <w:rPr>
          <w:color w:val="000000" w:themeColor="text1"/>
          <w:szCs w:val="18"/>
        </w:rPr>
        <w:t>. 48(3/4), p161-167</w:t>
      </w:r>
    </w:p>
    <w:p w14:paraId="116CDA73" w14:textId="77777777" w:rsidR="008E4BB6" w:rsidRPr="008E4BB6" w:rsidRDefault="008E4BB6" w:rsidP="008E4BB6">
      <w:pPr>
        <w:pStyle w:val="Body"/>
        <w:rPr>
          <w:color w:val="000000" w:themeColor="text1"/>
          <w:szCs w:val="18"/>
        </w:rPr>
      </w:pPr>
    </w:p>
    <w:p w14:paraId="18051EC9" w14:textId="77777777" w:rsidR="008E4BB6" w:rsidRPr="008E4BB6" w:rsidRDefault="008E4BB6" w:rsidP="008E4BB6">
      <w:pPr>
        <w:pStyle w:val="Body"/>
        <w:rPr>
          <w:color w:val="000000" w:themeColor="text1"/>
          <w:szCs w:val="18"/>
        </w:rPr>
      </w:pPr>
      <w:r w:rsidRPr="008E4BB6">
        <w:rPr>
          <w:color w:val="000000" w:themeColor="text1"/>
          <w:szCs w:val="18"/>
        </w:rPr>
        <w:t xml:space="preserve">Mathema, S (2013) Gentrification: an updated literature review. </w:t>
      </w:r>
      <w:r w:rsidRPr="008E4BB6">
        <w:rPr>
          <w:i/>
          <w:iCs/>
          <w:color w:val="000000" w:themeColor="text1"/>
          <w:szCs w:val="18"/>
        </w:rPr>
        <w:t>Poverty &amp; Race Research Action Council (PRRAC)</w:t>
      </w:r>
      <w:r w:rsidRPr="008E4BB6">
        <w:rPr>
          <w:color w:val="000000" w:themeColor="text1"/>
          <w:szCs w:val="18"/>
        </w:rPr>
        <w:t>. 1(1), p1-8</w:t>
      </w:r>
    </w:p>
    <w:p w14:paraId="177AB08E" w14:textId="77777777" w:rsidR="008E4BB6" w:rsidRPr="008E4BB6" w:rsidRDefault="008E4BB6" w:rsidP="008E4BB6">
      <w:pPr>
        <w:pStyle w:val="Body"/>
        <w:rPr>
          <w:color w:val="000000" w:themeColor="text1"/>
          <w:szCs w:val="18"/>
        </w:rPr>
      </w:pPr>
    </w:p>
    <w:p w14:paraId="58D3FF84" w14:textId="77777777" w:rsidR="008E4BB6" w:rsidRPr="008E4BB6" w:rsidRDefault="008E4BB6" w:rsidP="008E4BB6">
      <w:pPr>
        <w:pStyle w:val="Body"/>
        <w:rPr>
          <w:color w:val="000000" w:themeColor="text1"/>
          <w:szCs w:val="18"/>
        </w:rPr>
      </w:pPr>
      <w:r w:rsidRPr="008E4BB6">
        <w:rPr>
          <w:color w:val="000000" w:themeColor="text1"/>
          <w:szCs w:val="18"/>
        </w:rPr>
        <w:t>Mohammad, S.I; Graham, D.J; Melo, P.C; Anderson, R.J (2013) A meta-analysis of the impact of rail projects on land and property values. Transportation Research Part A. 50, p158-170</w:t>
      </w:r>
    </w:p>
    <w:p w14:paraId="57FE532D" w14:textId="77777777" w:rsidR="008E4BB6" w:rsidRPr="008E4BB6" w:rsidRDefault="008E4BB6" w:rsidP="008E4BB6">
      <w:pPr>
        <w:pStyle w:val="Body"/>
        <w:rPr>
          <w:color w:val="000000" w:themeColor="text1"/>
          <w:szCs w:val="18"/>
        </w:rPr>
      </w:pPr>
    </w:p>
    <w:p w14:paraId="52C9D896" w14:textId="77777777" w:rsidR="008E4BB6" w:rsidRPr="008E4BB6" w:rsidRDefault="008E4BB6" w:rsidP="008E4BB6">
      <w:pPr>
        <w:pStyle w:val="Body"/>
        <w:rPr>
          <w:rStyle w:val="Link"/>
          <w:color w:val="000000" w:themeColor="text1"/>
          <w:szCs w:val="18"/>
          <w:u w:val="none"/>
        </w:rPr>
      </w:pPr>
      <w:r w:rsidRPr="008E4BB6">
        <w:rPr>
          <w:color w:val="000000" w:themeColor="text1"/>
          <w:szCs w:val="18"/>
        </w:rPr>
        <w:t xml:space="preserve">National Audit Office (2004) Improving public transport in England through light rail. </w:t>
      </w:r>
      <w:r w:rsidRPr="008E4BB6">
        <w:rPr>
          <w:i/>
          <w:iCs/>
          <w:color w:val="000000" w:themeColor="text1"/>
          <w:szCs w:val="18"/>
        </w:rPr>
        <w:t>HC 518</w:t>
      </w:r>
      <w:r w:rsidRPr="008E4BB6">
        <w:rPr>
          <w:color w:val="000000" w:themeColor="text1"/>
          <w:szCs w:val="18"/>
        </w:rPr>
        <w:t xml:space="preserve">. Session 2003-2004. p1-47. Available: </w:t>
      </w:r>
      <w:hyperlink r:id="rId27" w:history="1">
        <w:r w:rsidRPr="008E4BB6">
          <w:rPr>
            <w:rStyle w:val="Link"/>
            <w:color w:val="000000" w:themeColor="text1"/>
            <w:szCs w:val="18"/>
            <w:u w:val="none"/>
          </w:rPr>
          <w:t>https://www.nao.org.uk/wp-content/uploads/2004/04/0304518.pdf</w:t>
        </w:r>
      </w:hyperlink>
    </w:p>
    <w:p w14:paraId="2486DA45" w14:textId="77777777" w:rsidR="008E4BB6" w:rsidRPr="008E4BB6" w:rsidRDefault="008E4BB6" w:rsidP="008E4BB6">
      <w:pPr>
        <w:pStyle w:val="Body"/>
        <w:rPr>
          <w:rStyle w:val="Link"/>
          <w:color w:val="000000" w:themeColor="text1"/>
          <w:szCs w:val="18"/>
          <w:u w:val="none"/>
        </w:rPr>
      </w:pPr>
    </w:p>
    <w:p w14:paraId="6470527F" w14:textId="77777777" w:rsidR="008E4BB6" w:rsidRPr="008E4BB6" w:rsidRDefault="008E4BB6" w:rsidP="008E4BB6">
      <w:pPr>
        <w:pStyle w:val="Body"/>
        <w:rPr>
          <w:color w:val="000000" w:themeColor="text1"/>
          <w:szCs w:val="18"/>
        </w:rPr>
      </w:pPr>
      <w:r w:rsidRPr="008E4BB6">
        <w:rPr>
          <w:color w:val="000000" w:themeColor="text1"/>
          <w:szCs w:val="18"/>
        </w:rPr>
        <w:t xml:space="preserve">NCC (2011) Nottingham Express Transit (N.E.T) Phase Two: Full Business Case, July 2011 (Redacted Version - May 2012). Available: </w:t>
      </w:r>
      <w:hyperlink r:id="rId28" w:history="1">
        <w:r w:rsidRPr="008E4BB6">
          <w:rPr>
            <w:rStyle w:val="Link"/>
            <w:color w:val="000000" w:themeColor="text1"/>
            <w:szCs w:val="18"/>
            <w:u w:val="none"/>
          </w:rPr>
          <w:t>www.thetram.net/userfiles/about/key%20documents/Nottingham%20Express%20Transit%20Phase%20Two%20Full%20Business%20Case%20July%202010.pdf</w:t>
        </w:r>
      </w:hyperlink>
    </w:p>
    <w:p w14:paraId="4419AC47" w14:textId="77777777" w:rsidR="008E4BB6" w:rsidRPr="008E4BB6" w:rsidRDefault="008E4BB6" w:rsidP="008E4BB6">
      <w:pPr>
        <w:pStyle w:val="Body"/>
        <w:rPr>
          <w:rStyle w:val="Link"/>
          <w:color w:val="000000" w:themeColor="text1"/>
          <w:szCs w:val="18"/>
          <w:u w:val="none"/>
        </w:rPr>
      </w:pPr>
    </w:p>
    <w:p w14:paraId="27F2E6FA" w14:textId="77777777" w:rsidR="008E4BB6" w:rsidRPr="008E4BB6" w:rsidRDefault="008E4BB6" w:rsidP="008E4BB6">
      <w:pPr>
        <w:pStyle w:val="Body"/>
        <w:rPr>
          <w:rStyle w:val="Link"/>
          <w:color w:val="000000" w:themeColor="text1"/>
          <w:szCs w:val="18"/>
          <w:u w:val="none"/>
        </w:rPr>
      </w:pPr>
      <w:r w:rsidRPr="008E4BB6">
        <w:rPr>
          <w:rStyle w:val="Link"/>
          <w:color w:val="000000" w:themeColor="text1"/>
          <w:szCs w:val="18"/>
          <w:u w:val="none"/>
        </w:rPr>
        <w:t>Nelson, A.C. (1992) Effects of elevated heavy rail transit stations on house prices with respect to neighborhood income. Transportation Research Record. 1359(1), p127-132</w:t>
      </w:r>
    </w:p>
    <w:p w14:paraId="2C93CDBA" w14:textId="77777777" w:rsidR="008E4BB6" w:rsidRPr="008E4BB6" w:rsidRDefault="008E4BB6" w:rsidP="008E4BB6">
      <w:pPr>
        <w:pStyle w:val="Body"/>
        <w:rPr>
          <w:rStyle w:val="Link"/>
          <w:color w:val="000000" w:themeColor="text1"/>
          <w:szCs w:val="18"/>
          <w:u w:val="none"/>
        </w:rPr>
      </w:pPr>
    </w:p>
    <w:p w14:paraId="3D48284B" w14:textId="77777777" w:rsidR="008E4BB6" w:rsidRPr="008E4BB6" w:rsidRDefault="008E4BB6" w:rsidP="008E4BB6">
      <w:pPr>
        <w:pStyle w:val="Body"/>
        <w:rPr>
          <w:color w:val="000000" w:themeColor="text1"/>
          <w:szCs w:val="18"/>
        </w:rPr>
      </w:pPr>
      <w:r w:rsidRPr="008E4BB6">
        <w:rPr>
          <w:color w:val="000000" w:themeColor="text1"/>
          <w:szCs w:val="18"/>
        </w:rPr>
        <w:t>Nesbitt, AJ (2005) A model of gentrification: Monitoring community change in selected neighbourhoods of St. Petersburg, Florida using the analytical hierarchy process. University of Florida. p1-84</w:t>
      </w:r>
    </w:p>
    <w:p w14:paraId="143EA947" w14:textId="77777777" w:rsidR="008E4BB6" w:rsidRPr="008E4BB6" w:rsidRDefault="008E4BB6" w:rsidP="008E4BB6">
      <w:pPr>
        <w:pStyle w:val="Body"/>
        <w:rPr>
          <w:color w:val="000000" w:themeColor="text1"/>
          <w:szCs w:val="18"/>
        </w:rPr>
      </w:pPr>
    </w:p>
    <w:p w14:paraId="42F0CF13" w14:textId="77777777" w:rsidR="008E4BB6" w:rsidRPr="008E4BB6" w:rsidRDefault="008E4BB6" w:rsidP="008E4BB6">
      <w:pPr>
        <w:pStyle w:val="Body"/>
        <w:rPr>
          <w:color w:val="000000" w:themeColor="text1"/>
          <w:szCs w:val="18"/>
        </w:rPr>
      </w:pPr>
      <w:r w:rsidRPr="008E4BB6">
        <w:rPr>
          <w:color w:val="000000" w:themeColor="text1"/>
          <w:szCs w:val="18"/>
        </w:rPr>
        <w:t xml:space="preserve">Newman, K; </w:t>
      </w:r>
      <w:proofErr w:type="spellStart"/>
      <w:r w:rsidRPr="008E4BB6">
        <w:rPr>
          <w:color w:val="000000" w:themeColor="text1"/>
          <w:szCs w:val="18"/>
        </w:rPr>
        <w:t>Wyly</w:t>
      </w:r>
      <w:proofErr w:type="spellEnd"/>
      <w:r w:rsidRPr="008E4BB6">
        <w:rPr>
          <w:color w:val="000000" w:themeColor="text1"/>
          <w:szCs w:val="18"/>
        </w:rPr>
        <w:t xml:space="preserve">, E.K; (2006) ‘The right to stay put, revisited: Gentrification and resistance to displacement in New York City’, </w:t>
      </w:r>
      <w:r w:rsidRPr="008E4BB6">
        <w:rPr>
          <w:i/>
          <w:iCs/>
          <w:color w:val="000000" w:themeColor="text1"/>
          <w:szCs w:val="18"/>
        </w:rPr>
        <w:t>Urban Studies</w:t>
      </w:r>
      <w:r w:rsidRPr="008E4BB6">
        <w:rPr>
          <w:color w:val="000000" w:themeColor="text1"/>
          <w:szCs w:val="18"/>
        </w:rPr>
        <w:t>. 43(1), p23-57</w:t>
      </w:r>
    </w:p>
    <w:p w14:paraId="2B44F447" w14:textId="77777777" w:rsidR="008E4BB6" w:rsidRPr="008E4BB6" w:rsidRDefault="008E4BB6" w:rsidP="008E4BB6">
      <w:pPr>
        <w:pStyle w:val="Body"/>
        <w:rPr>
          <w:color w:val="000000" w:themeColor="text1"/>
          <w:szCs w:val="18"/>
        </w:rPr>
      </w:pPr>
    </w:p>
    <w:p w14:paraId="0F5C229C" w14:textId="77777777" w:rsidR="008E4BB6" w:rsidRPr="008E4BB6" w:rsidRDefault="008E4BB6" w:rsidP="008E4BB6">
      <w:pPr>
        <w:pStyle w:val="Body"/>
        <w:rPr>
          <w:color w:val="000000" w:themeColor="text1"/>
          <w:szCs w:val="18"/>
        </w:rPr>
      </w:pPr>
      <w:r w:rsidRPr="008E4BB6">
        <w:rPr>
          <w:color w:val="000000" w:themeColor="text1"/>
          <w:szCs w:val="18"/>
        </w:rPr>
        <w:t xml:space="preserve">Office for National Statistics (2015a) Population estimates for UK, England and Wales, Scotland and Northern Ireland, Mid-2014. Available: </w:t>
      </w:r>
      <w:hyperlink r:id="rId29" w:history="1">
        <w:r w:rsidRPr="008E4BB6">
          <w:rPr>
            <w:rStyle w:val="Link"/>
            <w:color w:val="000000" w:themeColor="text1"/>
            <w:szCs w:val="18"/>
            <w:u w:val="none"/>
          </w:rPr>
          <w:t>www.ons.gov.uk/ons/publications/re-reference-tables.html?edition=tcm%3A77-368259</w:t>
        </w:r>
      </w:hyperlink>
    </w:p>
    <w:p w14:paraId="5CA873D7" w14:textId="77777777" w:rsidR="008E4BB6" w:rsidRPr="008E4BB6" w:rsidRDefault="008E4BB6" w:rsidP="008E4BB6">
      <w:pPr>
        <w:pStyle w:val="Body"/>
        <w:rPr>
          <w:color w:val="000000" w:themeColor="text1"/>
          <w:szCs w:val="18"/>
        </w:rPr>
      </w:pPr>
    </w:p>
    <w:p w14:paraId="4570EFA6" w14:textId="77777777" w:rsidR="008E4BB6" w:rsidRPr="008E4BB6" w:rsidRDefault="008E4BB6" w:rsidP="008E4BB6">
      <w:pPr>
        <w:pStyle w:val="Body"/>
        <w:rPr>
          <w:color w:val="000000" w:themeColor="text1"/>
          <w:szCs w:val="18"/>
        </w:rPr>
      </w:pPr>
      <w:r w:rsidRPr="008E4BB6">
        <w:rPr>
          <w:color w:val="000000" w:themeColor="text1"/>
          <w:szCs w:val="18"/>
        </w:rPr>
        <w:t>O’Sullivan, A (2012) Urban land rent, In: Urban Economics, 8</w:t>
      </w:r>
      <w:r w:rsidRPr="008E4BB6">
        <w:rPr>
          <w:color w:val="000000" w:themeColor="text1"/>
          <w:szCs w:val="18"/>
          <w:vertAlign w:val="superscript"/>
        </w:rPr>
        <w:t>th</w:t>
      </w:r>
      <w:r w:rsidRPr="008E4BB6">
        <w:rPr>
          <w:color w:val="000000" w:themeColor="text1"/>
          <w:szCs w:val="18"/>
        </w:rPr>
        <w:t xml:space="preserve"> edition. </w:t>
      </w:r>
      <w:proofErr w:type="spellStart"/>
      <w:r w:rsidRPr="008E4BB6">
        <w:rPr>
          <w:color w:val="000000" w:themeColor="text1"/>
          <w:szCs w:val="18"/>
        </w:rPr>
        <w:t>NewYork</w:t>
      </w:r>
      <w:proofErr w:type="spellEnd"/>
      <w:r w:rsidRPr="008E4BB6">
        <w:rPr>
          <w:color w:val="000000" w:themeColor="text1"/>
          <w:szCs w:val="18"/>
        </w:rPr>
        <w:t>: Mc-</w:t>
      </w:r>
      <w:proofErr w:type="spellStart"/>
      <w:r w:rsidRPr="008E4BB6">
        <w:rPr>
          <w:color w:val="000000" w:themeColor="text1"/>
          <w:szCs w:val="18"/>
        </w:rPr>
        <w:t>Graw</w:t>
      </w:r>
      <w:proofErr w:type="spellEnd"/>
      <w:r w:rsidRPr="008E4BB6">
        <w:rPr>
          <w:color w:val="000000" w:themeColor="text1"/>
          <w:szCs w:val="18"/>
        </w:rPr>
        <w:t>-Hill/Irwin. P127-161</w:t>
      </w:r>
    </w:p>
    <w:p w14:paraId="18A68667" w14:textId="77777777" w:rsidR="008E4BB6" w:rsidRPr="008E4BB6" w:rsidRDefault="008E4BB6" w:rsidP="008E4BB6">
      <w:pPr>
        <w:pStyle w:val="Body"/>
        <w:rPr>
          <w:color w:val="000000" w:themeColor="text1"/>
          <w:szCs w:val="18"/>
        </w:rPr>
      </w:pPr>
    </w:p>
    <w:p w14:paraId="477EE1C1" w14:textId="77777777" w:rsidR="008E4BB6" w:rsidRPr="008E4BB6" w:rsidRDefault="008E4BB6" w:rsidP="008E4BB6">
      <w:pPr>
        <w:pStyle w:val="Body"/>
        <w:rPr>
          <w:color w:val="000000" w:themeColor="text1"/>
          <w:szCs w:val="18"/>
        </w:rPr>
      </w:pPr>
      <w:r w:rsidRPr="008E4BB6">
        <w:rPr>
          <w:color w:val="000000" w:themeColor="text1"/>
          <w:szCs w:val="18"/>
        </w:rPr>
        <w:t>Ovenell, N (2007) A second hedonic longitudinal study on the effect of house prices of proximity to the Metrolink light rail system in Greater Manchester. (Unpublished)</w:t>
      </w:r>
    </w:p>
    <w:p w14:paraId="69A775C3" w14:textId="77777777" w:rsidR="008E4BB6" w:rsidRPr="008E4BB6" w:rsidRDefault="008E4BB6" w:rsidP="008E4BB6">
      <w:pPr>
        <w:pStyle w:val="Body"/>
        <w:rPr>
          <w:color w:val="000000" w:themeColor="text1"/>
          <w:szCs w:val="18"/>
        </w:rPr>
      </w:pPr>
    </w:p>
    <w:p w14:paraId="585DB313" w14:textId="77777777" w:rsidR="008E4BB6" w:rsidRPr="008E4BB6" w:rsidRDefault="008E4BB6" w:rsidP="008E4BB6">
      <w:pPr>
        <w:pStyle w:val="Body"/>
        <w:rPr>
          <w:color w:val="000000" w:themeColor="text1"/>
          <w:szCs w:val="18"/>
        </w:rPr>
      </w:pPr>
      <w:proofErr w:type="spellStart"/>
      <w:r w:rsidRPr="008E4BB6">
        <w:rPr>
          <w:color w:val="000000" w:themeColor="text1"/>
          <w:szCs w:val="18"/>
        </w:rPr>
        <w:t>Pagliara</w:t>
      </w:r>
      <w:proofErr w:type="spellEnd"/>
      <w:r w:rsidRPr="008E4BB6">
        <w:rPr>
          <w:color w:val="000000" w:themeColor="text1"/>
          <w:szCs w:val="18"/>
        </w:rPr>
        <w:t>, F; Papa, E (2011) Urban rail systems investment; an analysis of the impacts on property values and resident’s location. Journal of Transport Geography. 19, p200-211</w:t>
      </w:r>
    </w:p>
    <w:p w14:paraId="1DABB5B3" w14:textId="77777777" w:rsidR="008E4BB6" w:rsidRPr="008E4BB6" w:rsidRDefault="008E4BB6" w:rsidP="008E4BB6">
      <w:pPr>
        <w:pStyle w:val="Body"/>
        <w:rPr>
          <w:color w:val="000000" w:themeColor="text1"/>
          <w:szCs w:val="18"/>
        </w:rPr>
      </w:pPr>
    </w:p>
    <w:p w14:paraId="5F6646AD" w14:textId="77777777" w:rsidR="008E4BB6" w:rsidRPr="008E4BB6" w:rsidRDefault="008E4BB6" w:rsidP="008E4BB6">
      <w:pPr>
        <w:pStyle w:val="Body"/>
        <w:rPr>
          <w:color w:val="000000" w:themeColor="text1"/>
          <w:szCs w:val="18"/>
        </w:rPr>
      </w:pPr>
      <w:r w:rsidRPr="008E4BB6">
        <w:rPr>
          <w:color w:val="000000" w:themeColor="text1"/>
          <w:szCs w:val="18"/>
        </w:rPr>
        <w:t xml:space="preserve">Pollack, S.B; Bluestone, B; Billingham, C (2010) Demographic change, diversity and displacement in newly transit-rich neighbourhoods. </w:t>
      </w:r>
      <w:r w:rsidRPr="008E4BB6">
        <w:rPr>
          <w:i/>
          <w:color w:val="000000" w:themeColor="text1"/>
          <w:szCs w:val="18"/>
        </w:rPr>
        <w:t>Transportation Research Board 2011 Annual Meeting</w:t>
      </w:r>
      <w:r w:rsidRPr="008E4BB6">
        <w:rPr>
          <w:color w:val="000000" w:themeColor="text1"/>
          <w:szCs w:val="18"/>
        </w:rPr>
        <w:t xml:space="preserve">. </w:t>
      </w:r>
    </w:p>
    <w:p w14:paraId="71B252F4" w14:textId="77777777" w:rsidR="008E4BB6" w:rsidRPr="008E4BB6" w:rsidRDefault="008E4BB6" w:rsidP="008E4BB6">
      <w:pPr>
        <w:pStyle w:val="Body"/>
        <w:rPr>
          <w:color w:val="000000" w:themeColor="text1"/>
          <w:szCs w:val="18"/>
        </w:rPr>
      </w:pPr>
    </w:p>
    <w:p w14:paraId="6125615C" w14:textId="77777777" w:rsidR="008E4BB6" w:rsidRPr="008E4BB6" w:rsidRDefault="008E4BB6" w:rsidP="008E4BB6">
      <w:pPr>
        <w:pStyle w:val="Body"/>
        <w:rPr>
          <w:color w:val="000000" w:themeColor="text1"/>
          <w:szCs w:val="18"/>
        </w:rPr>
      </w:pPr>
      <w:r w:rsidRPr="008E4BB6">
        <w:rPr>
          <w:color w:val="000000" w:themeColor="text1"/>
          <w:szCs w:val="18"/>
        </w:rPr>
        <w:t xml:space="preserve">Railway Technology (2015) Nottingham Express Transit, United Kingdom. Available: </w:t>
      </w:r>
      <w:hyperlink r:id="rId30" w:history="1">
        <w:r w:rsidRPr="008E4BB6">
          <w:rPr>
            <w:rStyle w:val="Link"/>
            <w:color w:val="000000" w:themeColor="text1"/>
            <w:szCs w:val="18"/>
            <w:u w:val="none"/>
          </w:rPr>
          <w:t>www.railway-technology.com/projects/nottingham</w:t>
        </w:r>
      </w:hyperlink>
    </w:p>
    <w:p w14:paraId="7214F709" w14:textId="77777777" w:rsidR="008E4BB6" w:rsidRPr="008E4BB6" w:rsidRDefault="008E4BB6" w:rsidP="008E4BB6">
      <w:pPr>
        <w:pStyle w:val="Body"/>
        <w:rPr>
          <w:color w:val="000000" w:themeColor="text1"/>
          <w:szCs w:val="18"/>
        </w:rPr>
      </w:pPr>
    </w:p>
    <w:p w14:paraId="295614B3" w14:textId="77777777" w:rsidR="008E4BB6" w:rsidRPr="008E4BB6" w:rsidRDefault="008E4BB6" w:rsidP="008E4BB6">
      <w:pPr>
        <w:pStyle w:val="Body"/>
        <w:rPr>
          <w:color w:val="000000" w:themeColor="text1"/>
          <w:szCs w:val="18"/>
        </w:rPr>
      </w:pPr>
      <w:proofErr w:type="spellStart"/>
      <w:r w:rsidRPr="008E4BB6">
        <w:rPr>
          <w:color w:val="000000" w:themeColor="text1"/>
          <w:szCs w:val="18"/>
        </w:rPr>
        <w:t>Revington</w:t>
      </w:r>
      <w:proofErr w:type="spellEnd"/>
      <w:r w:rsidRPr="008E4BB6">
        <w:rPr>
          <w:color w:val="000000" w:themeColor="text1"/>
          <w:szCs w:val="18"/>
        </w:rPr>
        <w:t>, N (2015) Gentrification, Transit, and Land Use: Moving Beyond Neoclassical Theory. Geography Compass. 9(3), p152-163</w:t>
      </w:r>
    </w:p>
    <w:p w14:paraId="6664D764" w14:textId="77777777" w:rsidR="008E4BB6" w:rsidRPr="008E4BB6" w:rsidRDefault="008E4BB6" w:rsidP="008E4BB6">
      <w:pPr>
        <w:pStyle w:val="Body"/>
        <w:rPr>
          <w:color w:val="000000" w:themeColor="text1"/>
          <w:szCs w:val="18"/>
        </w:rPr>
      </w:pPr>
    </w:p>
    <w:p w14:paraId="45A7F24B" w14:textId="77777777" w:rsidR="008E4BB6" w:rsidRPr="008E4BB6" w:rsidRDefault="008E4BB6" w:rsidP="008E4BB6">
      <w:pPr>
        <w:pStyle w:val="Body"/>
        <w:rPr>
          <w:color w:val="000000" w:themeColor="text1"/>
          <w:szCs w:val="18"/>
        </w:rPr>
      </w:pPr>
      <w:r w:rsidRPr="008E4BB6">
        <w:rPr>
          <w:color w:val="000000" w:themeColor="text1"/>
          <w:szCs w:val="18"/>
        </w:rPr>
        <w:t>RICS (2002) Stage one; Summary of findings. In: Land value and public transport, RICS and ODPM Report</w:t>
      </w:r>
    </w:p>
    <w:p w14:paraId="5706EE5A" w14:textId="77777777" w:rsidR="008E4BB6" w:rsidRPr="008E4BB6" w:rsidRDefault="008E4BB6" w:rsidP="008E4BB6">
      <w:pPr>
        <w:pStyle w:val="Body"/>
        <w:rPr>
          <w:color w:val="000000" w:themeColor="text1"/>
          <w:szCs w:val="18"/>
        </w:rPr>
      </w:pPr>
    </w:p>
    <w:p w14:paraId="3FF2DAFF" w14:textId="77777777" w:rsidR="008E4BB6" w:rsidRPr="008E4BB6" w:rsidRDefault="008E4BB6" w:rsidP="008E4BB6">
      <w:pPr>
        <w:pStyle w:val="Body"/>
        <w:rPr>
          <w:rStyle w:val="Hyperlink"/>
          <w:color w:val="000000" w:themeColor="text1"/>
          <w:szCs w:val="18"/>
          <w:u w:val="none"/>
        </w:rPr>
      </w:pPr>
      <w:r w:rsidRPr="008E4BB6">
        <w:rPr>
          <w:color w:val="000000" w:themeColor="text1"/>
          <w:szCs w:val="18"/>
        </w:rPr>
        <w:t xml:space="preserve">SACTRA (1999) Transport and the Economy (report). </w:t>
      </w:r>
      <w:r w:rsidRPr="008E4BB6">
        <w:rPr>
          <w:i/>
          <w:color w:val="000000" w:themeColor="text1"/>
          <w:szCs w:val="18"/>
        </w:rPr>
        <w:t>The Stationary Office, London</w:t>
      </w:r>
      <w:r w:rsidRPr="008E4BB6">
        <w:rPr>
          <w:color w:val="000000" w:themeColor="text1"/>
          <w:szCs w:val="18"/>
        </w:rPr>
        <w:t xml:space="preserve">. Available: </w:t>
      </w:r>
      <w:hyperlink r:id="rId31" w:history="1">
        <w:r w:rsidRPr="008E4BB6">
          <w:rPr>
            <w:rStyle w:val="Hyperlink"/>
            <w:color w:val="000000" w:themeColor="text1"/>
            <w:szCs w:val="18"/>
            <w:u w:val="none"/>
          </w:rPr>
          <w:t>http://webarchive.nationalarchives.gov.uk/20050301192906/http:/dft.gov.uk/stellent/groups/dft_econappr/documents/pdf/dft_econappr_pdf_022512.pdf</w:t>
        </w:r>
      </w:hyperlink>
    </w:p>
    <w:p w14:paraId="62C83C7B" w14:textId="77777777" w:rsidR="008E4BB6" w:rsidRPr="008E4BB6" w:rsidRDefault="008E4BB6" w:rsidP="008E4BB6">
      <w:pPr>
        <w:pStyle w:val="Body"/>
        <w:rPr>
          <w:rStyle w:val="Hyperlink"/>
          <w:color w:val="000000" w:themeColor="text1"/>
          <w:szCs w:val="18"/>
          <w:u w:val="none"/>
        </w:rPr>
      </w:pPr>
    </w:p>
    <w:p w14:paraId="36C51E57" w14:textId="77777777" w:rsidR="008E4BB6" w:rsidRPr="008E4BB6" w:rsidRDefault="008E4BB6" w:rsidP="008E4BB6">
      <w:pPr>
        <w:pStyle w:val="Body"/>
        <w:rPr>
          <w:color w:val="000000" w:themeColor="text1"/>
          <w:szCs w:val="18"/>
        </w:rPr>
      </w:pPr>
      <w:proofErr w:type="spellStart"/>
      <w:r w:rsidRPr="008E4BB6">
        <w:rPr>
          <w:rStyle w:val="Hyperlink"/>
          <w:color w:val="000000" w:themeColor="text1"/>
          <w:szCs w:val="18"/>
          <w:u w:val="none"/>
        </w:rPr>
        <w:t>Seo</w:t>
      </w:r>
      <w:proofErr w:type="spellEnd"/>
      <w:r w:rsidRPr="008E4BB6">
        <w:rPr>
          <w:rStyle w:val="Hyperlink"/>
          <w:color w:val="000000" w:themeColor="text1"/>
          <w:szCs w:val="18"/>
          <w:u w:val="none"/>
        </w:rPr>
        <w:t xml:space="preserve">, K; Golub, A; </w:t>
      </w:r>
      <w:proofErr w:type="spellStart"/>
      <w:r w:rsidRPr="008E4BB6">
        <w:rPr>
          <w:rStyle w:val="Hyperlink"/>
          <w:color w:val="000000" w:themeColor="text1"/>
          <w:szCs w:val="18"/>
          <w:u w:val="none"/>
        </w:rPr>
        <w:t>Kuby</w:t>
      </w:r>
      <w:proofErr w:type="spellEnd"/>
      <w:r w:rsidRPr="008E4BB6">
        <w:rPr>
          <w:rStyle w:val="Hyperlink"/>
          <w:color w:val="000000" w:themeColor="text1"/>
          <w:szCs w:val="18"/>
          <w:u w:val="none"/>
        </w:rPr>
        <w:t xml:space="preserve">, M (2014) Combined impacts of highways and light rail transit on residential property values: a spatial hedonic price model for Phoenix, Arizona. </w:t>
      </w:r>
      <w:r w:rsidRPr="008E4BB6">
        <w:rPr>
          <w:rStyle w:val="Hyperlink"/>
          <w:i/>
          <w:color w:val="000000" w:themeColor="text1"/>
          <w:szCs w:val="18"/>
          <w:u w:val="none"/>
        </w:rPr>
        <w:t>Journal of Transport Geography</w:t>
      </w:r>
      <w:r w:rsidRPr="008E4BB6">
        <w:rPr>
          <w:rStyle w:val="Hyperlink"/>
          <w:color w:val="000000" w:themeColor="text1"/>
          <w:szCs w:val="18"/>
          <w:u w:val="none"/>
        </w:rPr>
        <w:t>. 41(1), p53-62</w:t>
      </w:r>
    </w:p>
    <w:p w14:paraId="4329B969" w14:textId="77777777" w:rsidR="008E4BB6" w:rsidRPr="008E4BB6" w:rsidRDefault="008E4BB6" w:rsidP="008E4BB6">
      <w:pPr>
        <w:pStyle w:val="Body"/>
        <w:rPr>
          <w:color w:val="000000" w:themeColor="text1"/>
          <w:szCs w:val="18"/>
        </w:rPr>
      </w:pPr>
    </w:p>
    <w:p w14:paraId="32BAC7C3" w14:textId="77777777" w:rsidR="008E4BB6" w:rsidRPr="008E4BB6" w:rsidRDefault="008E4BB6" w:rsidP="008E4BB6">
      <w:pPr>
        <w:pStyle w:val="Body"/>
        <w:rPr>
          <w:color w:val="000000" w:themeColor="text1"/>
          <w:szCs w:val="18"/>
        </w:rPr>
      </w:pPr>
      <w:r w:rsidRPr="008E4BB6">
        <w:rPr>
          <w:color w:val="000000" w:themeColor="text1"/>
          <w:szCs w:val="18"/>
        </w:rPr>
        <w:t xml:space="preserve">Slater, T (2006) The eviction of critical perspectives from gentrification research. </w:t>
      </w:r>
      <w:r w:rsidRPr="008E4BB6">
        <w:rPr>
          <w:i/>
          <w:iCs/>
          <w:color w:val="000000" w:themeColor="text1"/>
          <w:szCs w:val="18"/>
        </w:rPr>
        <w:t xml:space="preserve">International Journal of Urban and Regional Research, </w:t>
      </w:r>
      <w:r w:rsidRPr="008E4BB6">
        <w:rPr>
          <w:color w:val="000000" w:themeColor="text1"/>
          <w:szCs w:val="18"/>
        </w:rPr>
        <w:t>30(4), p737-757</w:t>
      </w:r>
    </w:p>
    <w:p w14:paraId="428E5CC8" w14:textId="77777777" w:rsidR="008E4BB6" w:rsidRPr="008E4BB6" w:rsidRDefault="008E4BB6" w:rsidP="008E4BB6">
      <w:pPr>
        <w:pStyle w:val="Body"/>
        <w:rPr>
          <w:color w:val="000000" w:themeColor="text1"/>
          <w:szCs w:val="18"/>
        </w:rPr>
      </w:pPr>
    </w:p>
    <w:p w14:paraId="6A8A2F6F" w14:textId="77777777" w:rsidR="008E4BB6" w:rsidRPr="008E4BB6" w:rsidRDefault="008E4BB6" w:rsidP="008E4BB6">
      <w:pPr>
        <w:pStyle w:val="Body"/>
        <w:rPr>
          <w:color w:val="000000" w:themeColor="text1"/>
          <w:szCs w:val="18"/>
        </w:rPr>
      </w:pPr>
      <w:r w:rsidRPr="008E4BB6">
        <w:rPr>
          <w:color w:val="000000" w:themeColor="text1"/>
          <w:szCs w:val="18"/>
        </w:rPr>
        <w:t xml:space="preserve">Smith, N (1979) Toward a theory of gentrification: A back to the city movement by capital, not people. </w:t>
      </w:r>
      <w:r w:rsidRPr="008E4BB6">
        <w:rPr>
          <w:i/>
          <w:iCs/>
          <w:color w:val="000000" w:themeColor="text1"/>
          <w:szCs w:val="18"/>
        </w:rPr>
        <w:t>Journal of the American Planning Association</w:t>
      </w:r>
      <w:r w:rsidRPr="008E4BB6">
        <w:rPr>
          <w:color w:val="000000" w:themeColor="text1"/>
          <w:szCs w:val="18"/>
        </w:rPr>
        <w:t>. 45(4), p480-487</w:t>
      </w:r>
    </w:p>
    <w:p w14:paraId="524A99CD" w14:textId="77777777" w:rsidR="008E4BB6" w:rsidRPr="008E4BB6" w:rsidRDefault="008E4BB6" w:rsidP="008E4BB6">
      <w:pPr>
        <w:pStyle w:val="Body"/>
        <w:rPr>
          <w:color w:val="000000" w:themeColor="text1"/>
          <w:szCs w:val="18"/>
        </w:rPr>
      </w:pPr>
    </w:p>
    <w:p w14:paraId="12FB3D92" w14:textId="77777777" w:rsidR="008E4BB6" w:rsidRPr="008E4BB6" w:rsidRDefault="008E4BB6" w:rsidP="008E4BB6">
      <w:pPr>
        <w:pStyle w:val="Body"/>
        <w:rPr>
          <w:color w:val="000000" w:themeColor="text1"/>
          <w:szCs w:val="18"/>
        </w:rPr>
      </w:pPr>
      <w:r w:rsidRPr="008E4BB6">
        <w:rPr>
          <w:color w:val="000000" w:themeColor="text1"/>
          <w:szCs w:val="18"/>
        </w:rPr>
        <w:t xml:space="preserve">Smith, N; Williams, P (1986) Gentrification and the City. </w:t>
      </w:r>
      <w:r w:rsidRPr="008E4BB6">
        <w:rPr>
          <w:i/>
          <w:iCs/>
          <w:color w:val="000000" w:themeColor="text1"/>
          <w:szCs w:val="18"/>
        </w:rPr>
        <w:t xml:space="preserve">New York, Routledge, </w:t>
      </w:r>
      <w:r w:rsidRPr="008E4BB6">
        <w:rPr>
          <w:color w:val="000000" w:themeColor="text1"/>
          <w:szCs w:val="18"/>
        </w:rPr>
        <w:t>p1-15</w:t>
      </w:r>
    </w:p>
    <w:p w14:paraId="4B75B353" w14:textId="77777777" w:rsidR="008E4BB6" w:rsidRPr="008E4BB6" w:rsidRDefault="008E4BB6" w:rsidP="008E4BB6">
      <w:pPr>
        <w:pStyle w:val="Body"/>
        <w:rPr>
          <w:color w:val="000000" w:themeColor="text1"/>
          <w:szCs w:val="18"/>
        </w:rPr>
      </w:pPr>
      <w:r w:rsidRPr="008E4BB6">
        <w:rPr>
          <w:color w:val="000000" w:themeColor="text1"/>
          <w:szCs w:val="18"/>
        </w:rPr>
        <w:t xml:space="preserve"> </w:t>
      </w:r>
    </w:p>
    <w:p w14:paraId="7D6D5436" w14:textId="77777777" w:rsidR="008E4BB6" w:rsidRPr="008E4BB6" w:rsidRDefault="008E4BB6" w:rsidP="008E4BB6">
      <w:pPr>
        <w:pStyle w:val="Body"/>
        <w:rPr>
          <w:color w:val="000000" w:themeColor="text1"/>
          <w:szCs w:val="18"/>
        </w:rPr>
      </w:pPr>
      <w:r w:rsidRPr="008E4BB6">
        <w:rPr>
          <w:color w:val="000000" w:themeColor="text1"/>
          <w:szCs w:val="18"/>
        </w:rPr>
        <w:t>Smith, N (1987) Gentrification and the Rent Gap. Annals of the Association of American Geographers. 77(3), p462-465</w:t>
      </w:r>
    </w:p>
    <w:p w14:paraId="66448C62" w14:textId="77777777" w:rsidR="008E4BB6" w:rsidRPr="008E4BB6" w:rsidRDefault="008E4BB6" w:rsidP="008E4BB6">
      <w:pPr>
        <w:pStyle w:val="Body"/>
        <w:rPr>
          <w:color w:val="000000" w:themeColor="text1"/>
          <w:szCs w:val="18"/>
        </w:rPr>
      </w:pPr>
    </w:p>
    <w:p w14:paraId="6ECA73AD" w14:textId="77777777" w:rsidR="008E4BB6" w:rsidRPr="008E4BB6" w:rsidRDefault="008E4BB6" w:rsidP="008E4BB6">
      <w:pPr>
        <w:pStyle w:val="Body"/>
        <w:rPr>
          <w:color w:val="000000" w:themeColor="text1"/>
          <w:szCs w:val="18"/>
        </w:rPr>
      </w:pPr>
      <w:r w:rsidRPr="008E4BB6">
        <w:rPr>
          <w:color w:val="000000" w:themeColor="text1"/>
          <w:szCs w:val="18"/>
        </w:rPr>
        <w:t xml:space="preserve">Smith, N (1996) The New Urban Frontier: Gentrification and the Revanchist City. </w:t>
      </w:r>
      <w:r w:rsidRPr="008E4BB6">
        <w:rPr>
          <w:i/>
          <w:color w:val="000000" w:themeColor="text1"/>
          <w:szCs w:val="18"/>
        </w:rPr>
        <w:t>New York: Routledge</w:t>
      </w:r>
      <w:r w:rsidRPr="008E4BB6">
        <w:rPr>
          <w:color w:val="000000" w:themeColor="text1"/>
          <w:szCs w:val="18"/>
        </w:rPr>
        <w:t xml:space="preserve">. </w:t>
      </w:r>
    </w:p>
    <w:p w14:paraId="67C49926" w14:textId="77777777" w:rsidR="008E4BB6" w:rsidRPr="008E4BB6" w:rsidRDefault="008E4BB6" w:rsidP="008E4BB6">
      <w:pPr>
        <w:pStyle w:val="Body"/>
        <w:rPr>
          <w:color w:val="000000" w:themeColor="text1"/>
          <w:szCs w:val="18"/>
        </w:rPr>
      </w:pPr>
    </w:p>
    <w:p w14:paraId="7C3436D2" w14:textId="77777777" w:rsidR="008E4BB6" w:rsidRPr="008E4BB6" w:rsidRDefault="008E4BB6" w:rsidP="008E4BB6">
      <w:pPr>
        <w:pStyle w:val="Body"/>
        <w:rPr>
          <w:color w:val="000000" w:themeColor="text1"/>
          <w:szCs w:val="18"/>
        </w:rPr>
      </w:pPr>
      <w:r w:rsidRPr="008E4BB6">
        <w:rPr>
          <w:color w:val="000000" w:themeColor="text1"/>
          <w:szCs w:val="18"/>
        </w:rPr>
        <w:t xml:space="preserve">Vandergrift, J (2006) Gentrification and Displacement. </w:t>
      </w:r>
      <w:r w:rsidRPr="008E4BB6">
        <w:rPr>
          <w:i/>
          <w:color w:val="000000" w:themeColor="text1"/>
          <w:szCs w:val="18"/>
        </w:rPr>
        <w:t>Urban Altruism, Calvin College</w:t>
      </w:r>
      <w:r w:rsidRPr="008E4BB6">
        <w:rPr>
          <w:color w:val="000000" w:themeColor="text1"/>
          <w:szCs w:val="18"/>
        </w:rPr>
        <w:t xml:space="preserve"> p1-10</w:t>
      </w:r>
    </w:p>
    <w:p w14:paraId="7A280554" w14:textId="77777777" w:rsidR="008E4BB6" w:rsidRPr="008E4BB6" w:rsidRDefault="008E4BB6" w:rsidP="008E4BB6">
      <w:pPr>
        <w:pStyle w:val="Body"/>
        <w:rPr>
          <w:color w:val="000000" w:themeColor="text1"/>
          <w:szCs w:val="18"/>
        </w:rPr>
      </w:pPr>
    </w:p>
    <w:p w14:paraId="6C616F35" w14:textId="77777777" w:rsidR="008E4BB6" w:rsidRPr="008E4BB6" w:rsidRDefault="008E4BB6" w:rsidP="008E4BB6">
      <w:pPr>
        <w:pStyle w:val="Body"/>
        <w:rPr>
          <w:color w:val="000000" w:themeColor="text1"/>
          <w:szCs w:val="18"/>
        </w:rPr>
      </w:pPr>
      <w:r w:rsidRPr="008E4BB6">
        <w:rPr>
          <w:color w:val="000000" w:themeColor="text1"/>
          <w:szCs w:val="18"/>
        </w:rPr>
        <w:t xml:space="preserve">Vuchic, V.R (2007) Urban Transit Systems and Technology. Chapter 2: Urban Passenger Transport Modes. </w:t>
      </w:r>
      <w:r w:rsidRPr="008E4BB6">
        <w:rPr>
          <w:i/>
          <w:color w:val="000000" w:themeColor="text1"/>
          <w:szCs w:val="18"/>
        </w:rPr>
        <w:t>Wiley and Sons, Hoboken/New Jersey</w:t>
      </w:r>
      <w:r w:rsidRPr="008E4BB6">
        <w:rPr>
          <w:color w:val="000000" w:themeColor="text1"/>
          <w:szCs w:val="18"/>
        </w:rPr>
        <w:t>. p45-71</w:t>
      </w:r>
    </w:p>
    <w:p w14:paraId="70F442A8" w14:textId="77777777" w:rsidR="008E4BB6" w:rsidRPr="008E4BB6" w:rsidRDefault="008E4BB6" w:rsidP="008E4BB6">
      <w:pPr>
        <w:pStyle w:val="Body"/>
        <w:rPr>
          <w:color w:val="000000" w:themeColor="text1"/>
          <w:szCs w:val="18"/>
        </w:rPr>
      </w:pPr>
    </w:p>
    <w:p w14:paraId="65AE115A" w14:textId="77777777" w:rsidR="008E4BB6" w:rsidRPr="008E4BB6" w:rsidRDefault="008E4BB6" w:rsidP="008E4BB6">
      <w:pPr>
        <w:pStyle w:val="Body"/>
        <w:rPr>
          <w:color w:val="000000" w:themeColor="text1"/>
          <w:szCs w:val="18"/>
        </w:rPr>
      </w:pPr>
      <w:proofErr w:type="spellStart"/>
      <w:r w:rsidRPr="008E4BB6">
        <w:rPr>
          <w:color w:val="000000" w:themeColor="text1"/>
          <w:szCs w:val="18"/>
        </w:rPr>
        <w:t>Waine</w:t>
      </w:r>
      <w:proofErr w:type="spellEnd"/>
      <w:r w:rsidRPr="008E4BB6">
        <w:rPr>
          <w:color w:val="000000" w:themeColor="text1"/>
          <w:szCs w:val="18"/>
        </w:rPr>
        <w:t>, O (2015) Why would a tram serve a transport route better than a bus? Available: http://www.quora.com/why-would-a-tram-serve-a-transport-route-better -than-a-bus</w:t>
      </w:r>
    </w:p>
    <w:p w14:paraId="61DCA04E" w14:textId="77777777" w:rsidR="008E4BB6" w:rsidRPr="008E4BB6" w:rsidRDefault="008E4BB6" w:rsidP="008E4BB6">
      <w:pPr>
        <w:pStyle w:val="Body"/>
        <w:rPr>
          <w:color w:val="000000" w:themeColor="text1"/>
          <w:szCs w:val="18"/>
        </w:rPr>
      </w:pPr>
    </w:p>
    <w:p w14:paraId="67FEBEC7" w14:textId="77777777" w:rsidR="008E4BB6" w:rsidRPr="008E4BB6" w:rsidRDefault="008E4BB6" w:rsidP="008E4BB6">
      <w:pPr>
        <w:pStyle w:val="Body"/>
        <w:rPr>
          <w:color w:val="000000" w:themeColor="text1"/>
          <w:szCs w:val="18"/>
        </w:rPr>
      </w:pPr>
      <w:r w:rsidRPr="008E4BB6">
        <w:rPr>
          <w:color w:val="000000" w:themeColor="text1"/>
          <w:szCs w:val="18"/>
        </w:rPr>
        <w:t xml:space="preserve">Weinstein, B.L; </w:t>
      </w:r>
      <w:proofErr w:type="spellStart"/>
      <w:r w:rsidRPr="008E4BB6">
        <w:rPr>
          <w:color w:val="000000" w:themeColor="text1"/>
          <w:szCs w:val="18"/>
        </w:rPr>
        <w:t>Clower</w:t>
      </w:r>
      <w:proofErr w:type="spellEnd"/>
      <w:r w:rsidRPr="008E4BB6">
        <w:rPr>
          <w:color w:val="000000" w:themeColor="text1"/>
          <w:szCs w:val="18"/>
        </w:rPr>
        <w:t>, T.L (1999) The initial economic impacts of the DART LRT system. Centre of Economic Development and Research, p1-37</w:t>
      </w:r>
    </w:p>
    <w:p w14:paraId="32E9CE75" w14:textId="77777777" w:rsidR="008E4BB6" w:rsidRPr="008E4BB6" w:rsidRDefault="008E4BB6" w:rsidP="008E4BB6">
      <w:pPr>
        <w:pStyle w:val="Body"/>
        <w:rPr>
          <w:color w:val="000000" w:themeColor="text1"/>
          <w:szCs w:val="18"/>
        </w:rPr>
      </w:pPr>
    </w:p>
    <w:p w14:paraId="4EA22323" w14:textId="77777777" w:rsidR="008E4BB6" w:rsidRPr="008E4BB6" w:rsidRDefault="008E4BB6" w:rsidP="008E4BB6">
      <w:pPr>
        <w:pStyle w:val="Body"/>
        <w:rPr>
          <w:color w:val="000000" w:themeColor="text1"/>
          <w:szCs w:val="18"/>
        </w:rPr>
      </w:pPr>
      <w:r w:rsidRPr="008E4BB6">
        <w:rPr>
          <w:color w:val="000000" w:themeColor="text1"/>
          <w:szCs w:val="18"/>
        </w:rPr>
        <w:t xml:space="preserve">Wheeler, G (2005) Memorandum by Environment Not Trams (LR 17): Integrated Transport - The Future of Light Rail and Modern Trams in Britain. </w:t>
      </w:r>
      <w:r w:rsidRPr="008E4BB6">
        <w:rPr>
          <w:i/>
          <w:iCs/>
          <w:color w:val="000000" w:themeColor="text1"/>
          <w:szCs w:val="18"/>
        </w:rPr>
        <w:t>Parliament - Select Committee on Transport Written Evidence</w:t>
      </w:r>
      <w:r w:rsidRPr="008E4BB6">
        <w:rPr>
          <w:color w:val="000000" w:themeColor="text1"/>
          <w:szCs w:val="18"/>
        </w:rPr>
        <w:t xml:space="preserve">. Available: </w:t>
      </w:r>
      <w:hyperlink r:id="rId32" w:history="1">
        <w:r w:rsidRPr="008E4BB6">
          <w:rPr>
            <w:rStyle w:val="Link"/>
            <w:color w:val="000000" w:themeColor="text1"/>
            <w:szCs w:val="18"/>
            <w:u w:val="none"/>
          </w:rPr>
          <w:t>www.publications.parliament.uk/pa/cm200405/cmselect/cmtran/378/378we07.htm</w:t>
        </w:r>
      </w:hyperlink>
    </w:p>
    <w:p w14:paraId="3D2ADE3E" w14:textId="77777777" w:rsidR="008E4BB6" w:rsidRPr="008E4BB6" w:rsidRDefault="008E4BB6" w:rsidP="008E4BB6">
      <w:pPr>
        <w:pStyle w:val="Body"/>
        <w:rPr>
          <w:color w:val="000000" w:themeColor="text1"/>
          <w:szCs w:val="18"/>
        </w:rPr>
      </w:pPr>
    </w:p>
    <w:p w14:paraId="309CB2E9" w14:textId="77777777" w:rsidR="008E4BB6" w:rsidRPr="008E4BB6" w:rsidRDefault="008E4BB6" w:rsidP="008E4BB6">
      <w:pPr>
        <w:pStyle w:val="Body"/>
        <w:rPr>
          <w:rStyle w:val="Hyperlink3"/>
          <w:rFonts w:asciiTheme="minorHAnsi" w:hAnsiTheme="minorHAnsi" w:cstheme="minorHAnsi"/>
          <w:color w:val="000000" w:themeColor="text1"/>
          <w:szCs w:val="18"/>
          <w:u w:val="none"/>
        </w:rPr>
      </w:pPr>
      <w:r w:rsidRPr="008E4BB6">
        <w:rPr>
          <w:color w:val="000000" w:themeColor="text1"/>
          <w:szCs w:val="18"/>
        </w:rPr>
        <w:t xml:space="preserve">Wright, R (2010) Can trams and trains bring express relief? Available: </w:t>
      </w:r>
      <w:hyperlink r:id="rId33" w:anchor="axzz3ydAJGhbi" w:history="1">
        <w:r w:rsidRPr="008E4BB6">
          <w:rPr>
            <w:rStyle w:val="Hyperlink3"/>
            <w:rFonts w:asciiTheme="minorHAnsi" w:hAnsiTheme="minorHAnsi" w:cstheme="minorHAnsi"/>
            <w:color w:val="000000" w:themeColor="text1"/>
            <w:szCs w:val="18"/>
            <w:u w:val="none"/>
          </w:rPr>
          <w:t>http://www.ft.com/cms/s/0/f9bb19ea-6190-11df-aa80-00144feab49a.html#axzz3ydAJGhbi</w:t>
        </w:r>
      </w:hyperlink>
    </w:p>
    <w:p w14:paraId="06886BF1" w14:textId="77777777" w:rsidR="008E4BB6" w:rsidRPr="008E4BB6" w:rsidRDefault="008E4BB6" w:rsidP="008E4BB6">
      <w:pPr>
        <w:pStyle w:val="Body"/>
        <w:rPr>
          <w:rStyle w:val="Hyperlink3"/>
          <w:rFonts w:asciiTheme="minorHAnsi" w:hAnsiTheme="minorHAnsi" w:cstheme="minorHAnsi"/>
          <w:color w:val="000000" w:themeColor="text1"/>
          <w:szCs w:val="18"/>
          <w:u w:val="none"/>
        </w:rPr>
      </w:pPr>
    </w:p>
    <w:p w14:paraId="3AA1A11E" w14:textId="77777777" w:rsidR="008E4BB6" w:rsidRPr="008E4BB6" w:rsidRDefault="008E4BB6" w:rsidP="008E4BB6">
      <w:pPr>
        <w:pStyle w:val="Body"/>
        <w:rPr>
          <w:color w:val="000000" w:themeColor="text1"/>
          <w:szCs w:val="18"/>
        </w:rPr>
      </w:pPr>
      <w:r w:rsidRPr="008E4BB6">
        <w:rPr>
          <w:color w:val="000000" w:themeColor="text1"/>
          <w:szCs w:val="18"/>
        </w:rPr>
        <w:t>Wu, J; Wang, M; Li, W; Peng, J; Huang, L (2014) Impact of the urban green space on residential housing prices: case study in Shenzhen. J. Urban Planning Development 10(1)</w:t>
      </w:r>
    </w:p>
    <w:p w14:paraId="65AEC7F3" w14:textId="77777777" w:rsidR="008E4BB6" w:rsidRPr="008E4BB6" w:rsidRDefault="008E4BB6" w:rsidP="008E4BB6">
      <w:pPr>
        <w:pStyle w:val="Body"/>
        <w:rPr>
          <w:rStyle w:val="Hyperlink3"/>
          <w:rFonts w:asciiTheme="minorHAnsi" w:hAnsiTheme="minorHAnsi" w:cstheme="minorHAnsi"/>
          <w:color w:val="000000" w:themeColor="text1"/>
          <w:szCs w:val="18"/>
          <w:u w:val="none"/>
        </w:rPr>
      </w:pPr>
    </w:p>
    <w:p w14:paraId="7D399D20" w14:textId="77777777" w:rsidR="008E4BB6" w:rsidRPr="008E4BB6" w:rsidRDefault="008E4BB6" w:rsidP="008E4BB6">
      <w:pPr>
        <w:pStyle w:val="Body"/>
        <w:rPr>
          <w:color w:val="000000" w:themeColor="text1"/>
          <w:szCs w:val="18"/>
        </w:rPr>
      </w:pPr>
      <w:r w:rsidRPr="008E4BB6">
        <w:rPr>
          <w:color w:val="000000" w:themeColor="text1"/>
          <w:szCs w:val="18"/>
        </w:rPr>
        <w:t>Yan, S (2012) The impact of a new light rail system on single-family property values in Charlotte, North Carolina. The Journal of Transport and Land Use. 5(2), p60-67</w:t>
      </w:r>
    </w:p>
    <w:p w14:paraId="264DCB63" w14:textId="77777777" w:rsidR="008E4BB6" w:rsidRPr="008E4BB6" w:rsidRDefault="008E4BB6" w:rsidP="008E4BB6">
      <w:pPr>
        <w:pStyle w:val="Body"/>
        <w:rPr>
          <w:color w:val="000000" w:themeColor="text1"/>
          <w:szCs w:val="18"/>
        </w:rPr>
      </w:pPr>
    </w:p>
    <w:p w14:paraId="11806B10" w14:textId="77777777" w:rsidR="008E4BB6" w:rsidRPr="008E4BB6" w:rsidRDefault="008E4BB6" w:rsidP="008E4BB6">
      <w:pPr>
        <w:pStyle w:val="Body"/>
        <w:rPr>
          <w:color w:val="000000" w:themeColor="text1"/>
          <w:szCs w:val="18"/>
        </w:rPr>
      </w:pPr>
      <w:r w:rsidRPr="008E4BB6">
        <w:rPr>
          <w:color w:val="000000" w:themeColor="text1"/>
          <w:szCs w:val="18"/>
        </w:rPr>
        <w:t xml:space="preserve">Young, K (2009) Equity, Gentrification and Light-Rail. </w:t>
      </w:r>
      <w:r w:rsidRPr="008E4BB6">
        <w:rPr>
          <w:i/>
          <w:color w:val="000000" w:themeColor="text1"/>
          <w:szCs w:val="18"/>
        </w:rPr>
        <w:t xml:space="preserve">University of </w:t>
      </w:r>
      <w:proofErr w:type="spellStart"/>
      <w:r w:rsidRPr="008E4BB6">
        <w:rPr>
          <w:i/>
          <w:color w:val="000000" w:themeColor="text1"/>
          <w:szCs w:val="18"/>
        </w:rPr>
        <w:t>Miinesota</w:t>
      </w:r>
      <w:proofErr w:type="spellEnd"/>
      <w:r w:rsidRPr="008E4BB6">
        <w:rPr>
          <w:i/>
          <w:color w:val="000000" w:themeColor="text1"/>
          <w:szCs w:val="18"/>
        </w:rPr>
        <w:t>, Central Corridor Equity Coalition</w:t>
      </w:r>
      <w:r w:rsidRPr="008E4BB6">
        <w:rPr>
          <w:color w:val="000000" w:themeColor="text1"/>
          <w:szCs w:val="18"/>
        </w:rPr>
        <w:t xml:space="preserve"> p6-40</w:t>
      </w:r>
    </w:p>
    <w:sectPr w:rsidR="008E4BB6" w:rsidRPr="008E4BB6" w:rsidSect="00B317A8">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DEC82" w14:textId="77777777" w:rsidR="0059615F" w:rsidRDefault="0059615F" w:rsidP="00050F11">
      <w:r>
        <w:separator/>
      </w:r>
    </w:p>
  </w:endnote>
  <w:endnote w:type="continuationSeparator" w:id="0">
    <w:p w14:paraId="5428B86D" w14:textId="77777777" w:rsidR="0059615F" w:rsidRDefault="0059615F" w:rsidP="00050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游明朝">
    <w:charset w:val="80"/>
    <w:family w:val="roman"/>
    <w:pitch w:val="variable"/>
    <w:sig w:usb0="800002E7" w:usb1="2AC7FCFF" w:usb2="00000012" w:usb3="00000000" w:csb0="0002009F" w:csb1="00000000"/>
  </w:font>
  <w:font w:name="游ゴシック Light">
    <w:charset w:val="80"/>
    <w:family w:val="auto"/>
    <w:pitch w:val="variable"/>
    <w:sig w:usb0="E00002FF" w:usb1="2AC7FDFF" w:usb2="00000016" w:usb3="00000000" w:csb0="0002009F" w:csb1="00000000"/>
  </w:font>
  <w:font w:name="Arial Unicode MS">
    <w:panose1 w:val="020B0604020202020204"/>
    <w:charset w:val="0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swiss"/>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B384E" w14:textId="77777777" w:rsidR="0059615F" w:rsidRDefault="0059615F" w:rsidP="00050F11">
      <w:r>
        <w:separator/>
      </w:r>
    </w:p>
  </w:footnote>
  <w:footnote w:type="continuationSeparator" w:id="0">
    <w:p w14:paraId="11ED2CAA" w14:textId="77777777" w:rsidR="0059615F" w:rsidRDefault="0059615F" w:rsidP="00050F1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117D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418176F"/>
    <w:multiLevelType w:val="multilevel"/>
    <w:tmpl w:val="C12891AC"/>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9D06FFE"/>
    <w:multiLevelType w:val="hybridMultilevel"/>
    <w:tmpl w:val="54CC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A70E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07A6EC7"/>
    <w:multiLevelType w:val="multilevel"/>
    <w:tmpl w:val="362EE63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2A157A3"/>
    <w:multiLevelType w:val="multilevel"/>
    <w:tmpl w:val="362EE63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C6E57AC"/>
    <w:multiLevelType w:val="hybridMultilevel"/>
    <w:tmpl w:val="544C6BF8"/>
    <w:lvl w:ilvl="0" w:tplc="187EF996">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7A8"/>
    <w:rsid w:val="00037E21"/>
    <w:rsid w:val="00050F11"/>
    <w:rsid w:val="000B307E"/>
    <w:rsid w:val="000B67B1"/>
    <w:rsid w:val="000B7F60"/>
    <w:rsid w:val="000C1D0D"/>
    <w:rsid w:val="0014141A"/>
    <w:rsid w:val="001C13D1"/>
    <w:rsid w:val="00297631"/>
    <w:rsid w:val="00567EF1"/>
    <w:rsid w:val="00582730"/>
    <w:rsid w:val="0059615F"/>
    <w:rsid w:val="00647D26"/>
    <w:rsid w:val="006E1FF6"/>
    <w:rsid w:val="006F6DB0"/>
    <w:rsid w:val="007E3B27"/>
    <w:rsid w:val="00846313"/>
    <w:rsid w:val="008D03A9"/>
    <w:rsid w:val="008E4BB6"/>
    <w:rsid w:val="00951922"/>
    <w:rsid w:val="009D76F5"/>
    <w:rsid w:val="00A37617"/>
    <w:rsid w:val="00A728BA"/>
    <w:rsid w:val="00AC4B17"/>
    <w:rsid w:val="00AD3010"/>
    <w:rsid w:val="00B317A8"/>
    <w:rsid w:val="00C33A5B"/>
    <w:rsid w:val="00C902FE"/>
    <w:rsid w:val="00D55C16"/>
    <w:rsid w:val="00D61218"/>
    <w:rsid w:val="00DC6C0D"/>
    <w:rsid w:val="00EF1143"/>
    <w:rsid w:val="00F3733E"/>
    <w:rsid w:val="00F440DF"/>
    <w:rsid w:val="00FF37A0"/>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3CA7F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0F11"/>
    <w:pPr>
      <w:spacing w:after="0" w:line="240" w:lineRule="auto"/>
      <w:jc w:val="left"/>
    </w:pPr>
    <w:rPr>
      <w:sz w:val="24"/>
    </w:rPr>
  </w:style>
  <w:style w:type="paragraph" w:styleId="Heading1">
    <w:name w:val="heading 1"/>
    <w:basedOn w:val="Normal"/>
    <w:next w:val="Normal"/>
    <w:link w:val="Heading1Char"/>
    <w:uiPriority w:val="9"/>
    <w:qFormat/>
    <w:rsid w:val="00567EF1"/>
    <w:pPr>
      <w:keepNext/>
      <w:keepLines/>
      <w:numPr>
        <w:numId w:val="5"/>
      </w:numPr>
      <w:spacing w:before="320" w:after="240"/>
      <w:outlineLvl w:val="0"/>
    </w:pPr>
    <w:rPr>
      <w:rFonts w:eastAsiaTheme="majorEastAsia" w:cstheme="minorHAnsi"/>
      <w:b/>
      <w:bCs/>
      <w:caps/>
      <w:spacing w:val="4"/>
      <w:szCs w:val="28"/>
    </w:rPr>
  </w:style>
  <w:style w:type="paragraph" w:styleId="Heading2">
    <w:name w:val="heading 2"/>
    <w:basedOn w:val="Normal"/>
    <w:next w:val="Normal"/>
    <w:link w:val="Heading2Char"/>
    <w:uiPriority w:val="9"/>
    <w:unhideWhenUsed/>
    <w:qFormat/>
    <w:rsid w:val="00567EF1"/>
    <w:pPr>
      <w:keepNext/>
      <w:keepLines/>
      <w:numPr>
        <w:ilvl w:val="1"/>
        <w:numId w:val="5"/>
      </w:numPr>
      <w:spacing w:before="240" w:after="240"/>
      <w:outlineLvl w:val="1"/>
    </w:pPr>
    <w:rPr>
      <w:rFonts w:eastAsiaTheme="majorEastAsia" w:cstheme="minorHAnsi"/>
      <w:b/>
      <w:bCs/>
      <w:szCs w:val="28"/>
    </w:rPr>
  </w:style>
  <w:style w:type="paragraph" w:styleId="Heading3">
    <w:name w:val="heading 3"/>
    <w:basedOn w:val="Normal"/>
    <w:next w:val="Normal"/>
    <w:link w:val="Heading3Char"/>
    <w:uiPriority w:val="9"/>
    <w:unhideWhenUsed/>
    <w:qFormat/>
    <w:rsid w:val="00567EF1"/>
    <w:pPr>
      <w:keepNext/>
      <w:keepLines/>
      <w:numPr>
        <w:ilvl w:val="2"/>
        <w:numId w:val="5"/>
      </w:numPr>
      <w:spacing w:before="240" w:after="240"/>
      <w:outlineLvl w:val="2"/>
    </w:pPr>
    <w:rPr>
      <w:rFonts w:eastAsia="Arial Unicode MS" w:cstheme="minorHAnsi"/>
      <w:b/>
      <w:spacing w:val="4"/>
      <w:szCs w:val="24"/>
      <w:lang w:val="en-US"/>
    </w:rPr>
  </w:style>
  <w:style w:type="paragraph" w:styleId="Heading4">
    <w:name w:val="heading 4"/>
    <w:basedOn w:val="Normal"/>
    <w:next w:val="Normal"/>
    <w:link w:val="Heading4Char"/>
    <w:uiPriority w:val="9"/>
    <w:semiHidden/>
    <w:unhideWhenUsed/>
    <w:qFormat/>
    <w:rsid w:val="00B317A8"/>
    <w:pPr>
      <w:keepNext/>
      <w:keepLines/>
      <w:numPr>
        <w:ilvl w:val="3"/>
        <w:numId w:val="5"/>
      </w:numPr>
      <w:spacing w:before="120"/>
      <w:outlineLvl w:val="3"/>
    </w:pPr>
    <w:rPr>
      <w:rFonts w:asciiTheme="majorHAnsi" w:eastAsiaTheme="majorEastAsia" w:hAnsiTheme="majorHAnsi" w:cstheme="majorBidi"/>
      <w:i/>
      <w:iCs/>
      <w:szCs w:val="24"/>
    </w:rPr>
  </w:style>
  <w:style w:type="paragraph" w:styleId="Heading5">
    <w:name w:val="heading 5"/>
    <w:basedOn w:val="Normal"/>
    <w:next w:val="Normal"/>
    <w:link w:val="Heading5Char"/>
    <w:uiPriority w:val="9"/>
    <w:semiHidden/>
    <w:unhideWhenUsed/>
    <w:qFormat/>
    <w:rsid w:val="00B317A8"/>
    <w:pPr>
      <w:keepNext/>
      <w:keepLines/>
      <w:numPr>
        <w:ilvl w:val="4"/>
        <w:numId w:val="5"/>
      </w:numPr>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B317A8"/>
    <w:pPr>
      <w:keepNext/>
      <w:keepLines/>
      <w:numPr>
        <w:ilvl w:val="5"/>
        <w:numId w:val="5"/>
      </w:numPr>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317A8"/>
    <w:pPr>
      <w:keepNext/>
      <w:keepLines/>
      <w:numPr>
        <w:ilvl w:val="6"/>
        <w:numId w:val="5"/>
      </w:numPr>
      <w:spacing w:before="120"/>
      <w:outlineLvl w:val="6"/>
    </w:pPr>
    <w:rPr>
      <w:i/>
      <w:iCs/>
    </w:rPr>
  </w:style>
  <w:style w:type="paragraph" w:styleId="Heading8">
    <w:name w:val="heading 8"/>
    <w:basedOn w:val="Normal"/>
    <w:next w:val="Normal"/>
    <w:link w:val="Heading8Char"/>
    <w:uiPriority w:val="9"/>
    <w:semiHidden/>
    <w:unhideWhenUsed/>
    <w:qFormat/>
    <w:rsid w:val="00B317A8"/>
    <w:pPr>
      <w:keepNext/>
      <w:keepLines/>
      <w:numPr>
        <w:ilvl w:val="7"/>
        <w:numId w:val="5"/>
      </w:numPr>
      <w:spacing w:before="120"/>
      <w:outlineLvl w:val="7"/>
    </w:pPr>
    <w:rPr>
      <w:b/>
      <w:bCs/>
    </w:rPr>
  </w:style>
  <w:style w:type="paragraph" w:styleId="Heading9">
    <w:name w:val="heading 9"/>
    <w:basedOn w:val="Normal"/>
    <w:next w:val="Normal"/>
    <w:link w:val="Heading9Char"/>
    <w:uiPriority w:val="9"/>
    <w:semiHidden/>
    <w:unhideWhenUsed/>
    <w:qFormat/>
    <w:rsid w:val="00B317A8"/>
    <w:pPr>
      <w:keepNext/>
      <w:keepLines/>
      <w:numPr>
        <w:ilvl w:val="8"/>
        <w:numId w:val="5"/>
      </w:numPr>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EF1"/>
    <w:rPr>
      <w:rFonts w:eastAsiaTheme="majorEastAsia" w:cstheme="minorHAnsi"/>
      <w:b/>
      <w:bCs/>
      <w:caps/>
      <w:spacing w:val="4"/>
      <w:sz w:val="24"/>
      <w:szCs w:val="28"/>
    </w:rPr>
  </w:style>
  <w:style w:type="paragraph" w:styleId="NoSpacing">
    <w:name w:val="No Spacing"/>
    <w:link w:val="NoSpacingChar"/>
    <w:uiPriority w:val="1"/>
    <w:qFormat/>
    <w:rsid w:val="00B317A8"/>
    <w:pPr>
      <w:spacing w:after="0" w:line="240" w:lineRule="auto"/>
    </w:pPr>
  </w:style>
  <w:style w:type="character" w:customStyle="1" w:styleId="Heading2Char">
    <w:name w:val="Heading 2 Char"/>
    <w:basedOn w:val="DefaultParagraphFont"/>
    <w:link w:val="Heading2"/>
    <w:uiPriority w:val="9"/>
    <w:rsid w:val="00567EF1"/>
    <w:rPr>
      <w:rFonts w:eastAsiaTheme="majorEastAsia" w:cstheme="minorHAnsi"/>
      <w:b/>
      <w:bCs/>
      <w:sz w:val="24"/>
      <w:szCs w:val="28"/>
    </w:rPr>
  </w:style>
  <w:style w:type="character" w:customStyle="1" w:styleId="Heading3Char">
    <w:name w:val="Heading 3 Char"/>
    <w:basedOn w:val="DefaultParagraphFont"/>
    <w:link w:val="Heading3"/>
    <w:uiPriority w:val="9"/>
    <w:rsid w:val="00567EF1"/>
    <w:rPr>
      <w:rFonts w:eastAsia="Arial Unicode MS" w:cstheme="minorHAnsi"/>
      <w:b/>
      <w:spacing w:val="4"/>
      <w:sz w:val="24"/>
      <w:szCs w:val="24"/>
      <w:lang w:val="en-US"/>
    </w:rPr>
  </w:style>
  <w:style w:type="character" w:customStyle="1" w:styleId="Heading4Char">
    <w:name w:val="Heading 4 Char"/>
    <w:basedOn w:val="DefaultParagraphFont"/>
    <w:link w:val="Heading4"/>
    <w:uiPriority w:val="9"/>
    <w:semiHidden/>
    <w:rsid w:val="00B317A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B317A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B317A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317A8"/>
    <w:rPr>
      <w:i/>
      <w:iCs/>
    </w:rPr>
  </w:style>
  <w:style w:type="character" w:customStyle="1" w:styleId="Heading8Char">
    <w:name w:val="Heading 8 Char"/>
    <w:basedOn w:val="DefaultParagraphFont"/>
    <w:link w:val="Heading8"/>
    <w:uiPriority w:val="9"/>
    <w:semiHidden/>
    <w:rsid w:val="00B317A8"/>
    <w:rPr>
      <w:b/>
      <w:bCs/>
    </w:rPr>
  </w:style>
  <w:style w:type="character" w:customStyle="1" w:styleId="Heading9Char">
    <w:name w:val="Heading 9 Char"/>
    <w:basedOn w:val="DefaultParagraphFont"/>
    <w:link w:val="Heading9"/>
    <w:uiPriority w:val="9"/>
    <w:semiHidden/>
    <w:rsid w:val="00B317A8"/>
    <w:rPr>
      <w:i/>
      <w:iCs/>
    </w:rPr>
  </w:style>
  <w:style w:type="paragraph" w:styleId="Caption">
    <w:name w:val="caption"/>
    <w:basedOn w:val="Normal"/>
    <w:next w:val="Normal"/>
    <w:uiPriority w:val="35"/>
    <w:unhideWhenUsed/>
    <w:qFormat/>
    <w:rsid w:val="00B317A8"/>
    <w:pPr>
      <w:spacing w:before="120"/>
    </w:pPr>
    <w:rPr>
      <w:b/>
      <w:bCs/>
      <w:sz w:val="18"/>
      <w:szCs w:val="18"/>
    </w:rPr>
  </w:style>
  <w:style w:type="paragraph" w:styleId="Title">
    <w:name w:val="Title"/>
    <w:basedOn w:val="Normal"/>
    <w:next w:val="Normal"/>
    <w:link w:val="TitleChar"/>
    <w:uiPriority w:val="10"/>
    <w:qFormat/>
    <w:rsid w:val="00B317A8"/>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B317A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B317A8"/>
    <w:pPr>
      <w:numPr>
        <w:ilvl w:val="1"/>
      </w:numPr>
      <w:spacing w:after="240"/>
      <w:jc w:val="center"/>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B317A8"/>
    <w:rPr>
      <w:rFonts w:asciiTheme="majorHAnsi" w:eastAsiaTheme="majorEastAsia" w:hAnsiTheme="majorHAnsi" w:cstheme="majorBidi"/>
      <w:sz w:val="24"/>
      <w:szCs w:val="24"/>
    </w:rPr>
  </w:style>
  <w:style w:type="character" w:styleId="Strong">
    <w:name w:val="Strong"/>
    <w:basedOn w:val="DefaultParagraphFont"/>
    <w:uiPriority w:val="22"/>
    <w:qFormat/>
    <w:rsid w:val="00B317A8"/>
    <w:rPr>
      <w:b/>
      <w:bCs/>
      <w:color w:val="auto"/>
    </w:rPr>
  </w:style>
  <w:style w:type="character" w:styleId="Emphasis">
    <w:name w:val="Emphasis"/>
    <w:basedOn w:val="DefaultParagraphFont"/>
    <w:uiPriority w:val="20"/>
    <w:qFormat/>
    <w:rsid w:val="00B317A8"/>
    <w:rPr>
      <w:i/>
      <w:iCs/>
      <w:color w:val="auto"/>
    </w:rPr>
  </w:style>
  <w:style w:type="paragraph" w:styleId="Quote">
    <w:name w:val="Quote"/>
    <w:basedOn w:val="Normal"/>
    <w:next w:val="Normal"/>
    <w:link w:val="QuoteChar"/>
    <w:uiPriority w:val="29"/>
    <w:qFormat/>
    <w:rsid w:val="00B317A8"/>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317A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317A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317A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317A8"/>
    <w:rPr>
      <w:i/>
      <w:iCs/>
      <w:color w:val="auto"/>
    </w:rPr>
  </w:style>
  <w:style w:type="character" w:styleId="IntenseEmphasis">
    <w:name w:val="Intense Emphasis"/>
    <w:basedOn w:val="DefaultParagraphFont"/>
    <w:uiPriority w:val="21"/>
    <w:qFormat/>
    <w:rsid w:val="00B317A8"/>
    <w:rPr>
      <w:b/>
      <w:bCs/>
      <w:i/>
      <w:iCs/>
      <w:color w:val="auto"/>
    </w:rPr>
  </w:style>
  <w:style w:type="character" w:styleId="SubtleReference">
    <w:name w:val="Subtle Reference"/>
    <w:basedOn w:val="DefaultParagraphFont"/>
    <w:uiPriority w:val="31"/>
    <w:qFormat/>
    <w:rsid w:val="00B317A8"/>
    <w:rPr>
      <w:smallCaps/>
      <w:color w:val="auto"/>
      <w:u w:val="single" w:color="7F7F7F" w:themeColor="text1" w:themeTint="80"/>
    </w:rPr>
  </w:style>
  <w:style w:type="character" w:styleId="IntenseReference">
    <w:name w:val="Intense Reference"/>
    <w:basedOn w:val="DefaultParagraphFont"/>
    <w:uiPriority w:val="32"/>
    <w:qFormat/>
    <w:rsid w:val="00B317A8"/>
    <w:rPr>
      <w:b/>
      <w:bCs/>
      <w:smallCaps/>
      <w:color w:val="auto"/>
      <w:u w:val="single"/>
    </w:rPr>
  </w:style>
  <w:style w:type="character" w:styleId="BookTitle">
    <w:name w:val="Book Title"/>
    <w:basedOn w:val="DefaultParagraphFont"/>
    <w:uiPriority w:val="33"/>
    <w:qFormat/>
    <w:rsid w:val="00B317A8"/>
    <w:rPr>
      <w:b/>
      <w:bCs/>
      <w:smallCaps/>
      <w:color w:val="auto"/>
    </w:rPr>
  </w:style>
  <w:style w:type="paragraph" w:styleId="TOCHeading">
    <w:name w:val="TOC Heading"/>
    <w:basedOn w:val="Heading1"/>
    <w:next w:val="Normal"/>
    <w:uiPriority w:val="39"/>
    <w:semiHidden/>
    <w:unhideWhenUsed/>
    <w:qFormat/>
    <w:rsid w:val="00B317A8"/>
    <w:pPr>
      <w:outlineLvl w:val="9"/>
    </w:pPr>
  </w:style>
  <w:style w:type="paragraph" w:customStyle="1" w:styleId="Body">
    <w:name w:val="Body"/>
    <w:basedOn w:val="NoSpacing"/>
    <w:qFormat/>
    <w:rsid w:val="00B317A8"/>
    <w:pPr>
      <w:pBdr>
        <w:top w:val="nil"/>
        <w:left w:val="nil"/>
        <w:bottom w:val="nil"/>
        <w:right w:val="nil"/>
        <w:between w:val="nil"/>
        <w:bar w:val="nil"/>
      </w:pBdr>
      <w:jc w:val="left"/>
    </w:pPr>
    <w:rPr>
      <w:rFonts w:eastAsia="Arial Unicode MS" w:cstheme="minorHAnsi"/>
      <w:color w:val="000000"/>
      <w:sz w:val="24"/>
      <w:szCs w:val="24"/>
      <w:u w:color="000000"/>
      <w:bdr w:val="nil"/>
      <w:lang w:val="en-US" w:eastAsia="en-GB"/>
    </w:rPr>
  </w:style>
  <w:style w:type="paragraph" w:customStyle="1" w:styleId="Sub-heading1">
    <w:name w:val="Sub-heading 1"/>
    <w:basedOn w:val="Heading2"/>
    <w:link w:val="Sub-heading1Char"/>
    <w:qFormat/>
    <w:rsid w:val="00567EF1"/>
  </w:style>
  <w:style w:type="character" w:customStyle="1" w:styleId="Sub-heading1Char">
    <w:name w:val="Sub-heading 1 Char"/>
    <w:basedOn w:val="DefaultParagraphFont"/>
    <w:link w:val="Sub-heading1"/>
    <w:rsid w:val="00567EF1"/>
    <w:rPr>
      <w:rFonts w:eastAsiaTheme="majorEastAsia" w:cstheme="minorHAnsi"/>
      <w:b/>
      <w:bCs/>
      <w:sz w:val="24"/>
      <w:szCs w:val="28"/>
    </w:rPr>
  </w:style>
  <w:style w:type="character" w:customStyle="1" w:styleId="NoSpacingChar">
    <w:name w:val="No Spacing Char"/>
    <w:basedOn w:val="DefaultParagraphFont"/>
    <w:link w:val="NoSpacing"/>
    <w:uiPriority w:val="1"/>
    <w:rsid w:val="00B317A8"/>
  </w:style>
  <w:style w:type="table" w:styleId="TableGrid">
    <w:name w:val="Table Grid"/>
    <w:basedOn w:val="TableNormal"/>
    <w:uiPriority w:val="39"/>
    <w:rsid w:val="00B317A8"/>
    <w:pPr>
      <w:pBdr>
        <w:top w:val="nil"/>
        <w:left w:val="nil"/>
        <w:bottom w:val="nil"/>
        <w:right w:val="nil"/>
        <w:between w:val="nil"/>
        <w:bar w:val="nil"/>
      </w:pBdr>
      <w:spacing w:after="0" w:line="240" w:lineRule="auto"/>
      <w:jc w:val="left"/>
    </w:pPr>
    <w:rPr>
      <w:rFonts w:ascii="Times New Roman" w:eastAsia="Arial Unicode MS" w:hAnsi="Times New Roman" w:cs="Times New Roman"/>
      <w:sz w:val="24"/>
      <w:szCs w:val="24"/>
      <w:bdr w:val="ni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B67B1"/>
    <w:pPr>
      <w:tabs>
        <w:tab w:val="center" w:pos="4513"/>
        <w:tab w:val="right" w:pos="9026"/>
      </w:tabs>
    </w:pPr>
  </w:style>
  <w:style w:type="character" w:customStyle="1" w:styleId="HeaderChar">
    <w:name w:val="Header Char"/>
    <w:basedOn w:val="DefaultParagraphFont"/>
    <w:link w:val="Header"/>
    <w:uiPriority w:val="99"/>
    <w:rsid w:val="000B67B1"/>
    <w:rPr>
      <w:sz w:val="24"/>
    </w:rPr>
  </w:style>
  <w:style w:type="paragraph" w:styleId="Footer">
    <w:name w:val="footer"/>
    <w:basedOn w:val="Normal"/>
    <w:link w:val="FooterChar"/>
    <w:uiPriority w:val="99"/>
    <w:unhideWhenUsed/>
    <w:rsid w:val="000B67B1"/>
    <w:pPr>
      <w:tabs>
        <w:tab w:val="center" w:pos="4513"/>
        <w:tab w:val="right" w:pos="9026"/>
      </w:tabs>
    </w:pPr>
  </w:style>
  <w:style w:type="character" w:customStyle="1" w:styleId="FooterChar">
    <w:name w:val="Footer Char"/>
    <w:basedOn w:val="DefaultParagraphFont"/>
    <w:link w:val="Footer"/>
    <w:uiPriority w:val="99"/>
    <w:rsid w:val="000B67B1"/>
    <w:rPr>
      <w:sz w:val="24"/>
    </w:rPr>
  </w:style>
  <w:style w:type="paragraph" w:styleId="ListParagraph">
    <w:name w:val="List Paragraph"/>
    <w:basedOn w:val="Normal"/>
    <w:rsid w:val="00FF37A0"/>
    <w:pPr>
      <w:ind w:left="720"/>
      <w:contextualSpacing/>
    </w:pPr>
    <w:rPr>
      <w:rFonts w:eastAsiaTheme="minorHAnsi"/>
      <w:sz w:val="22"/>
    </w:rPr>
  </w:style>
  <w:style w:type="paragraph" w:customStyle="1" w:styleId="Sub-heading2">
    <w:name w:val="Sub-heading 2"/>
    <w:basedOn w:val="Sub-heading1"/>
    <w:link w:val="Sub-heading2Char"/>
    <w:qFormat/>
    <w:rsid w:val="00FF37A0"/>
    <w:pPr>
      <w:numPr>
        <w:ilvl w:val="0"/>
        <w:numId w:val="0"/>
      </w:numPr>
      <w:spacing w:before="40" w:after="0"/>
    </w:pPr>
    <w:rPr>
      <w:rFonts w:eastAsia="Arial Unicode MS"/>
      <w:bCs w:val="0"/>
      <w:szCs w:val="24"/>
      <w:lang w:val="en-US"/>
    </w:rPr>
  </w:style>
  <w:style w:type="character" w:customStyle="1" w:styleId="Sub-heading2Char">
    <w:name w:val="Sub-heading 2 Char"/>
    <w:basedOn w:val="Sub-heading1Char"/>
    <w:link w:val="Sub-heading2"/>
    <w:rsid w:val="00FF37A0"/>
    <w:rPr>
      <w:rFonts w:asciiTheme="majorHAnsi" w:eastAsia="Arial Unicode MS" w:hAnsiTheme="majorHAnsi" w:cstheme="minorHAnsi"/>
      <w:b w:val="0"/>
      <w:bCs w:val="0"/>
      <w:sz w:val="24"/>
      <w:szCs w:val="24"/>
      <w:lang w:val="en-US"/>
    </w:rPr>
  </w:style>
  <w:style w:type="character" w:styleId="Hyperlink">
    <w:name w:val="Hyperlink"/>
    <w:uiPriority w:val="99"/>
    <w:rsid w:val="00037E21"/>
    <w:rPr>
      <w:u w:val="single"/>
    </w:rPr>
  </w:style>
  <w:style w:type="character" w:customStyle="1" w:styleId="Link">
    <w:name w:val="Link"/>
    <w:rsid w:val="00037E21"/>
    <w:rPr>
      <w:color w:val="0563C1"/>
      <w:u w:val="single" w:color="0563C1"/>
    </w:rPr>
  </w:style>
  <w:style w:type="character" w:customStyle="1" w:styleId="Hyperlink1">
    <w:name w:val="Hyperlink.1"/>
    <w:basedOn w:val="Link"/>
    <w:rsid w:val="00037E21"/>
    <w:rPr>
      <w:rFonts w:ascii="Arial" w:eastAsia="Arial" w:hAnsi="Arial" w:cs="Arial"/>
      <w:color w:val="023160"/>
      <w:u w:val="single" w:color="023160"/>
    </w:rPr>
  </w:style>
  <w:style w:type="character" w:customStyle="1" w:styleId="Hyperlink2">
    <w:name w:val="Hyperlink.2"/>
    <w:basedOn w:val="Link"/>
    <w:rsid w:val="00037E21"/>
    <w:rPr>
      <w:rFonts w:ascii="Arial" w:eastAsia="Arial" w:hAnsi="Arial" w:cs="Arial"/>
      <w:color w:val="0563C1"/>
      <w:u w:val="single" w:color="0563C1"/>
    </w:rPr>
  </w:style>
  <w:style w:type="character" w:customStyle="1" w:styleId="Hyperlink3">
    <w:name w:val="Hyperlink.3"/>
    <w:basedOn w:val="Link"/>
    <w:rsid w:val="00037E21"/>
    <w:rPr>
      <w:rFonts w:ascii="Helvetica Neue" w:eastAsia="Helvetica Neue" w:hAnsi="Helvetica Neue" w:cs="Helvetica Neue"/>
      <w:color w:val="023160"/>
      <w:u w:val="single" w:color="0231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gov.uk/government/uploads/system/uploads/attachment_data/file/3618/green-light-for-light-rail.pdf" TargetMode="External"/><Relationship Id="rId21" Type="http://schemas.openxmlformats.org/officeDocument/2006/relationships/hyperlink" Target="https://www.gov.uk/transport-analysis-guidance-webtag" TargetMode="External"/><Relationship Id="rId22" Type="http://schemas.openxmlformats.org/officeDocument/2006/relationships/hyperlink" Target="https://www.gov.uk/government/collections/light-rail-and-tram-statistics" TargetMode="External"/><Relationship Id="rId23" Type="http://schemas.openxmlformats.org/officeDocument/2006/relationships/hyperlink" Target="http://www.citylab.com/housing/2015/09/the-role-of-public-investment-in-gentrification/403324/" TargetMode="External"/><Relationship Id="rId24" Type="http://schemas.openxmlformats.org/officeDocument/2006/relationships/hyperlink" Target="http://www.stlouisfed.org/publications/cb/articles/?id=863" TargetMode="External"/><Relationship Id="rId25" Type="http://schemas.openxmlformats.org/officeDocument/2006/relationships/hyperlink" Target="http://nottinghaminsight.org.uk/IAS/profiles/profile?profileId=661&amp;geoTypeId=1&amp;geoIds=00FY" TargetMode="External"/><Relationship Id="rId26" Type="http://schemas.openxmlformats.org/officeDocument/2006/relationships/hyperlink" Target="https://www.jrf.org.uk/report/neighbourhood-images-nottingham" TargetMode="External"/><Relationship Id="rId27" Type="http://schemas.openxmlformats.org/officeDocument/2006/relationships/hyperlink" Target="https://www.nao.org.uk/wp-content/uploads/2004/04/0304518.pdf" TargetMode="External"/><Relationship Id="rId28" Type="http://schemas.openxmlformats.org/officeDocument/2006/relationships/hyperlink" Target="http://www.thetram.net/userfiles/about/key%20documents/Nottingham%20Express%20Transit%20Phase%20Two%20Full%20Business%20Case%20July%202010.pdf" TargetMode="External"/><Relationship Id="rId29" Type="http://schemas.openxmlformats.org/officeDocument/2006/relationships/hyperlink" Target="http://www.ons.gov.uk/ons/publications/re-reference-table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railway-technology.com/projects/nottingham" TargetMode="External"/><Relationship Id="rId31" Type="http://schemas.openxmlformats.org/officeDocument/2006/relationships/hyperlink" Target="http://webarchive.nationalarchives.gov.uk/20050301192906/http:/dft.gov.uk/stellent/groups/dft_econappr/documents/pdf/dft_econappr_pdf_022512.pdf" TargetMode="External"/><Relationship Id="rId32" Type="http://schemas.openxmlformats.org/officeDocument/2006/relationships/hyperlink" Target="http://www.publications.parliament.uk/pa/cm200405/cmselect/cmtran/378/378we07.htm"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ft.com/cms/s/0/f9bb19ea-6190-11df-aa80-00144feab49a.html"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hyperlink" Target="https://www.gov.uk/government/uploads/system/uploads/attachment_data/file/339175/meta-evaluation-final-report.pdf" TargetMode="External"/><Relationship Id="rId18" Type="http://schemas.openxmlformats.org/officeDocument/2006/relationships/hyperlink" Target="http://dx.doi.org/10.1016/j.tranpol.2016.01.007" TargetMode="External"/><Relationship Id="rId19" Type="http://schemas.openxmlformats.org/officeDocument/2006/relationships/hyperlink" Target="http://www.bettertransport.org.uk/sites/default/files/light-rail-inquiry-Oct09.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Edward\Google%20Drive\GEOG3600%20-%20Dissertation\Results\Questionnaire\Questionnai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900">
                <a:latin typeface="Arial" panose="020B0604020202020204" pitchFamily="34" charset="0"/>
                <a:cs typeface="Arial" panose="020B0604020202020204" pitchFamily="34" charset="0"/>
              </a:rPr>
              <a:t>Change in Average Price Paid 2001 -</a:t>
            </a:r>
            <a:r>
              <a:rPr lang="en-GB" sz="900" baseline="0">
                <a:latin typeface="Arial" panose="020B0604020202020204" pitchFamily="34" charset="0"/>
                <a:cs typeface="Arial" panose="020B0604020202020204" pitchFamily="34" charset="0"/>
              </a:rPr>
              <a:t> 2011 (Index = 100)</a:t>
            </a:r>
            <a:endParaRPr lang="en-GB" sz="900">
              <a:latin typeface="Arial" panose="020B0604020202020204" pitchFamily="34" charset="0"/>
              <a:cs typeface="Arial" panose="020B0604020202020204" pitchFamily="34" charset="0"/>
            </a:endParaRPr>
          </a:p>
        </c:rich>
      </c:tx>
      <c:layout>
        <c:manualLayout>
          <c:xMode val="edge"/>
          <c:yMode val="edge"/>
          <c:x val="0.122773446728089"/>
          <c:y val="0.018058690744921"/>
        </c:manualLayout>
      </c:layout>
      <c:overlay val="0"/>
    </c:title>
    <c:autoTitleDeleted val="0"/>
    <c:plotArea>
      <c:layout>
        <c:manualLayout>
          <c:layoutTarget val="inner"/>
          <c:xMode val="edge"/>
          <c:yMode val="edge"/>
          <c:x val="0.115840984303839"/>
          <c:y val="0.103478395123883"/>
          <c:w val="0.633274552587376"/>
          <c:h val="0.736974458328149"/>
        </c:manualLayout>
      </c:layout>
      <c:lineChart>
        <c:grouping val="standard"/>
        <c:varyColors val="0"/>
        <c:ser>
          <c:idx val="0"/>
          <c:order val="0"/>
          <c:tx>
            <c:strRef>
              <c:f>Sheet1!$A$2</c:f>
              <c:strCache>
                <c:ptCount val="1"/>
                <c:pt idx="0">
                  <c:v>N.E.T (720m)</c:v>
                </c:pt>
              </c:strCache>
            </c:strRef>
          </c:tx>
          <c:spPr>
            <a:ln w="25400" cap="flat">
              <a:solidFill>
                <a:srgbClr val="367DA2"/>
              </a:solidFill>
              <a:prstDash val="solid"/>
              <a:miter lim="400000"/>
            </a:ln>
            <a:effectLst/>
          </c:spPr>
          <c:marker>
            <c:symbol val="none"/>
          </c:marker>
          <c:cat>
            <c:strRef>
              <c:f>Sheet1!$B$1:$L$1</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Sheet1!$B$2:$L$2</c:f>
              <c:numCache>
                <c:formatCode>General</c:formatCode>
                <c:ptCount val="11"/>
                <c:pt idx="0">
                  <c:v>100.0</c:v>
                </c:pt>
                <c:pt idx="1">
                  <c:v>132.005706</c:v>
                </c:pt>
                <c:pt idx="2">
                  <c:v>165.056979</c:v>
                </c:pt>
                <c:pt idx="3">
                  <c:v>177.893952</c:v>
                </c:pt>
                <c:pt idx="4">
                  <c:v>197.929939</c:v>
                </c:pt>
                <c:pt idx="5">
                  <c:v>203.091313</c:v>
                </c:pt>
                <c:pt idx="6">
                  <c:v>202.822221</c:v>
                </c:pt>
                <c:pt idx="7">
                  <c:v>186.637812</c:v>
                </c:pt>
                <c:pt idx="8">
                  <c:v>172.388919</c:v>
                </c:pt>
                <c:pt idx="9">
                  <c:v>170.981861</c:v>
                </c:pt>
                <c:pt idx="10">
                  <c:v>166.498079</c:v>
                </c:pt>
              </c:numCache>
            </c:numRef>
          </c:val>
          <c:smooth val="0"/>
          <c:extLst xmlns:c16r2="http://schemas.microsoft.com/office/drawing/2015/06/chart">
            <c:ext xmlns:c16="http://schemas.microsoft.com/office/drawing/2014/chart" uri="{C3380CC4-5D6E-409C-BE32-E72D297353CC}">
              <c16:uniqueId val="{00000000-480C-4416-A550-BABED475FDDB}"/>
            </c:ext>
          </c:extLst>
        </c:ser>
        <c:ser>
          <c:idx val="1"/>
          <c:order val="1"/>
          <c:tx>
            <c:strRef>
              <c:f>Sheet1!$A$3</c:f>
              <c:strCache>
                <c:ptCount val="1"/>
                <c:pt idx="0">
                  <c:v>Control (400m)</c:v>
                </c:pt>
              </c:strCache>
            </c:strRef>
          </c:tx>
          <c:spPr>
            <a:ln w="25400" cap="flat">
              <a:solidFill>
                <a:srgbClr val="578726"/>
              </a:solidFill>
              <a:prstDash val="solid"/>
              <a:miter lim="400000"/>
            </a:ln>
            <a:effectLst/>
          </c:spPr>
          <c:marker>
            <c:symbol val="none"/>
          </c:marker>
          <c:cat>
            <c:strRef>
              <c:f>Sheet1!$B$1:$L$1</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Sheet1!$B$3:$L$3</c:f>
              <c:numCache>
                <c:formatCode>General</c:formatCode>
                <c:ptCount val="11"/>
                <c:pt idx="0">
                  <c:v>100.0</c:v>
                </c:pt>
                <c:pt idx="1">
                  <c:v>127.729261</c:v>
                </c:pt>
                <c:pt idx="2">
                  <c:v>157.72422</c:v>
                </c:pt>
                <c:pt idx="3">
                  <c:v>168.697121</c:v>
                </c:pt>
                <c:pt idx="4">
                  <c:v>181.537896</c:v>
                </c:pt>
                <c:pt idx="5">
                  <c:v>194.330985</c:v>
                </c:pt>
                <c:pt idx="6">
                  <c:v>186.104715</c:v>
                </c:pt>
                <c:pt idx="7">
                  <c:v>173.486015</c:v>
                </c:pt>
                <c:pt idx="8">
                  <c:v>180.442513</c:v>
                </c:pt>
                <c:pt idx="9">
                  <c:v>166.906906</c:v>
                </c:pt>
                <c:pt idx="10">
                  <c:v>172.269377</c:v>
                </c:pt>
              </c:numCache>
            </c:numRef>
          </c:val>
          <c:smooth val="0"/>
          <c:extLst xmlns:c16r2="http://schemas.microsoft.com/office/drawing/2015/06/chart">
            <c:ext xmlns:c16="http://schemas.microsoft.com/office/drawing/2014/chart" uri="{C3380CC4-5D6E-409C-BE32-E72D297353CC}">
              <c16:uniqueId val="{00000001-480C-4416-A550-BABED475FDDB}"/>
            </c:ext>
          </c:extLst>
        </c:ser>
        <c:ser>
          <c:idx val="2"/>
          <c:order val="2"/>
          <c:tx>
            <c:strRef>
              <c:f>Sheet1!$A$4</c:f>
              <c:strCache>
                <c:ptCount val="1"/>
                <c:pt idx="0">
                  <c:v>City of Nottingham</c:v>
                </c:pt>
              </c:strCache>
            </c:strRef>
          </c:tx>
          <c:spPr>
            <a:ln w="25400" cap="flat">
              <a:solidFill>
                <a:srgbClr val="8C8C8C"/>
              </a:solidFill>
              <a:prstDash val="solid"/>
              <a:miter lim="400000"/>
            </a:ln>
            <a:effectLst/>
          </c:spPr>
          <c:marker>
            <c:symbol val="none"/>
          </c:marker>
          <c:cat>
            <c:strRef>
              <c:f>Sheet1!$B$1:$L$1</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Sheet1!$B$4:$L$4</c:f>
              <c:numCache>
                <c:formatCode>General</c:formatCode>
                <c:ptCount val="11"/>
                <c:pt idx="0">
                  <c:v>100.0</c:v>
                </c:pt>
                <c:pt idx="1">
                  <c:v>124.891953</c:v>
                </c:pt>
                <c:pt idx="2">
                  <c:v>156.063858</c:v>
                </c:pt>
                <c:pt idx="3">
                  <c:v>174.958104</c:v>
                </c:pt>
                <c:pt idx="4">
                  <c:v>185.052774</c:v>
                </c:pt>
                <c:pt idx="5">
                  <c:v>189.205598</c:v>
                </c:pt>
                <c:pt idx="6">
                  <c:v>190.230206</c:v>
                </c:pt>
                <c:pt idx="7">
                  <c:v>183.782671</c:v>
                </c:pt>
                <c:pt idx="8">
                  <c:v>182.489048</c:v>
                </c:pt>
                <c:pt idx="9">
                  <c:v>178.400906</c:v>
                </c:pt>
                <c:pt idx="10">
                  <c:v>173.489548</c:v>
                </c:pt>
              </c:numCache>
            </c:numRef>
          </c:val>
          <c:smooth val="0"/>
          <c:extLst xmlns:c16r2="http://schemas.microsoft.com/office/drawing/2015/06/chart">
            <c:ext xmlns:c16="http://schemas.microsoft.com/office/drawing/2014/chart" uri="{C3380CC4-5D6E-409C-BE32-E72D297353CC}">
              <c16:uniqueId val="{00000002-480C-4416-A550-BABED475FDDB}"/>
            </c:ext>
          </c:extLst>
        </c:ser>
        <c:dLbls>
          <c:showLegendKey val="0"/>
          <c:showVal val="0"/>
          <c:showCatName val="0"/>
          <c:showSerName val="0"/>
          <c:showPercent val="0"/>
          <c:showBubbleSize val="0"/>
        </c:dLbls>
        <c:smooth val="0"/>
        <c:axId val="-1986232368"/>
        <c:axId val="-1986230048"/>
      </c:lineChart>
      <c:catAx>
        <c:axId val="-1986232368"/>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5400000" vert="horz"/>
          <a:lstStyle/>
          <a:p>
            <a:pPr>
              <a:defRPr sz="800" b="0" i="0" u="none" strike="noStrike">
                <a:solidFill>
                  <a:srgbClr val="000000"/>
                </a:solidFill>
                <a:latin typeface="Arial"/>
              </a:defRPr>
            </a:pPr>
            <a:endParaRPr lang="en-GB"/>
          </a:p>
        </c:txPr>
        <c:crossAx val="-1986230048"/>
        <c:crosses val="autoZero"/>
        <c:auto val="1"/>
        <c:lblAlgn val="ctr"/>
        <c:lblOffset val="100"/>
        <c:noMultiLvlLbl val="1"/>
      </c:catAx>
      <c:valAx>
        <c:axId val="-1986230048"/>
        <c:scaling>
          <c:orientation val="minMax"/>
        </c:scaling>
        <c:delete val="0"/>
        <c:axPos val="l"/>
        <c:majorGridlines>
          <c:spPr>
            <a:ln w="6350" cap="flat">
              <a:solidFill>
                <a:srgbClr val="B8B8B8"/>
              </a:solidFill>
              <a:prstDash val="solid"/>
              <a:miter lim="400000"/>
            </a:ln>
          </c:spPr>
        </c:majorGridlines>
        <c:title>
          <c:tx>
            <c:rich>
              <a:bodyPr rot="-5400000"/>
              <a:lstStyle/>
              <a:p>
                <a:pPr>
                  <a:defRPr sz="891" b="0" i="0" u="none" strike="noStrike">
                    <a:solidFill>
                      <a:srgbClr val="000000"/>
                    </a:solidFill>
                    <a:latin typeface="Arial"/>
                  </a:defRPr>
                </a:pPr>
                <a:r>
                  <a:rPr lang="en-GB" sz="891" b="0" i="0" u="none" strike="noStrike">
                    <a:solidFill>
                      <a:srgbClr val="000000"/>
                    </a:solidFill>
                    <a:latin typeface="Arial"/>
                  </a:rPr>
                  <a:t>Index = 100</a:t>
                </a:r>
              </a:p>
            </c:rich>
          </c:tx>
          <c:overlay val="1"/>
        </c:title>
        <c:numFmt formatCode="General" sourceLinked="0"/>
        <c:majorTickMark val="none"/>
        <c:minorTickMark val="none"/>
        <c:tickLblPos val="nextTo"/>
        <c:txPr>
          <a:bodyPr rot="0"/>
          <a:lstStyle/>
          <a:p>
            <a:pPr>
              <a:defRPr sz="809" b="0" i="0" u="none" strike="noStrike">
                <a:solidFill>
                  <a:srgbClr val="000000"/>
                </a:solidFill>
                <a:latin typeface="Arial"/>
              </a:defRPr>
            </a:pPr>
            <a:endParaRPr lang="en-GB"/>
          </a:p>
        </c:txPr>
        <c:crossAx val="-1986232368"/>
        <c:crosses val="autoZero"/>
        <c:crossBetween val="between"/>
        <c:majorUnit val="20.0"/>
        <c:minorUnit val="10.0"/>
      </c:valAx>
      <c:spPr>
        <a:noFill/>
        <a:ln w="12700" cap="flat">
          <a:noFill/>
          <a:miter lim="400000"/>
        </a:ln>
        <a:effectLst/>
      </c:spPr>
    </c:plotArea>
    <c:legend>
      <c:legendPos val="r"/>
      <c:overlay val="0"/>
      <c:spPr>
        <a:noFill/>
        <a:ln w="12700" cap="flat">
          <a:noFill/>
          <a:miter lim="400000"/>
        </a:ln>
        <a:effectLst/>
      </c:spPr>
      <c:txPr>
        <a:bodyPr rot="0"/>
        <a:lstStyle/>
        <a:p>
          <a:pPr>
            <a:defRPr sz="809" b="0" i="0" u="none" strike="noStrike">
              <a:solidFill>
                <a:srgbClr val="000000"/>
              </a:solidFill>
              <a:latin typeface="Arial"/>
            </a:defRPr>
          </a:pPr>
          <a:endParaRPr lang="en-GB"/>
        </a:p>
      </c:txPr>
    </c:legend>
    <c:plotVisOnly val="1"/>
    <c:dispBlanksAs val="gap"/>
    <c:showDLblsOverMax val="1"/>
  </c:chart>
  <c:spPr>
    <a:noFill/>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Arial" panose="020B0604020202020204" pitchFamily="34" charset="0"/>
                <a:cs typeface="Arial" panose="020B0604020202020204" pitchFamily="34" charset="0"/>
              </a:defRPr>
            </a:pPr>
            <a:r>
              <a:rPr lang="en-GB" sz="900">
                <a:latin typeface="Arial" panose="020B0604020202020204" pitchFamily="34" charset="0"/>
                <a:cs typeface="Arial" panose="020B0604020202020204" pitchFamily="34" charset="0"/>
              </a:rPr>
              <a:t>Change in Property</a:t>
            </a:r>
            <a:r>
              <a:rPr lang="en-GB" sz="900" baseline="0">
                <a:latin typeface="Arial" panose="020B0604020202020204" pitchFamily="34" charset="0"/>
                <a:cs typeface="Arial" panose="020B0604020202020204" pitchFamily="34" charset="0"/>
              </a:rPr>
              <a:t> Turnover/Total Recorded Transactions 2001 - 2011 (Index = 100)</a:t>
            </a:r>
            <a:endParaRPr lang="en-GB" sz="9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112394569859727"/>
          <c:y val="0.141284722222222"/>
          <c:w val="0.649301572690183"/>
          <c:h val="0.756689905949256"/>
        </c:manualLayout>
      </c:layout>
      <c:lineChart>
        <c:grouping val="standard"/>
        <c:varyColors val="0"/>
        <c:ser>
          <c:idx val="0"/>
          <c:order val="0"/>
          <c:tx>
            <c:strRef>
              <c:f>Sheet1!$B$1</c:f>
              <c:strCache>
                <c:ptCount val="1"/>
                <c:pt idx="0">
                  <c:v>N.E.T Index</c:v>
                </c:pt>
              </c:strCache>
            </c:strRef>
          </c:tx>
          <c:spPr>
            <a:ln w="25400" cap="flat">
              <a:solidFill>
                <a:srgbClr val="367DA2"/>
              </a:solidFill>
              <a:prstDash val="solid"/>
              <a:miter lim="400000"/>
            </a:ln>
            <a:effectLst/>
          </c:spPr>
          <c:marker>
            <c:symbol val="circle"/>
            <c:size val="2"/>
            <c:spPr>
              <a:solidFill>
                <a:srgbClr val="FFFFFF"/>
              </a:solidFill>
              <a:ln w="50800" cap="flat">
                <a:solidFill>
                  <a:srgbClr val="367DA2"/>
                </a:solidFill>
                <a:prstDash val="solid"/>
                <a:miter lim="400000"/>
              </a:ln>
              <a:effectLst/>
            </c:spPr>
          </c:marker>
          <c:cat>
            <c:strRef>
              <c:f>Sheet1!$A$2:$A$12</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Sheet1!$B$2:$B$12</c:f>
              <c:numCache>
                <c:formatCode>General</c:formatCode>
                <c:ptCount val="11"/>
                <c:pt idx="0">
                  <c:v>100.0</c:v>
                </c:pt>
                <c:pt idx="1">
                  <c:v>113.840195</c:v>
                </c:pt>
                <c:pt idx="2">
                  <c:v>107.453941</c:v>
                </c:pt>
                <c:pt idx="3">
                  <c:v>105.105031</c:v>
                </c:pt>
                <c:pt idx="4">
                  <c:v>74.32586799999984</c:v>
                </c:pt>
                <c:pt idx="5">
                  <c:v>106.088295</c:v>
                </c:pt>
                <c:pt idx="6">
                  <c:v>116.184139</c:v>
                </c:pt>
                <c:pt idx="7">
                  <c:v>57.401798</c:v>
                </c:pt>
                <c:pt idx="8">
                  <c:v>33.629637</c:v>
                </c:pt>
                <c:pt idx="9">
                  <c:v>37.627253</c:v>
                </c:pt>
                <c:pt idx="10">
                  <c:v>35.516711</c:v>
                </c:pt>
              </c:numCache>
            </c:numRef>
          </c:val>
          <c:smooth val="0"/>
          <c:extLst xmlns:c16r2="http://schemas.microsoft.com/office/drawing/2015/06/chart">
            <c:ext xmlns:c16="http://schemas.microsoft.com/office/drawing/2014/chart" uri="{C3380CC4-5D6E-409C-BE32-E72D297353CC}">
              <c16:uniqueId val="{00000000-E237-44C6-9F07-458C0396B6FD}"/>
            </c:ext>
          </c:extLst>
        </c:ser>
        <c:ser>
          <c:idx val="1"/>
          <c:order val="1"/>
          <c:tx>
            <c:strRef>
              <c:f>Sheet1!$C$1</c:f>
              <c:strCache>
                <c:ptCount val="1"/>
                <c:pt idx="0">
                  <c:v>Control Index</c:v>
                </c:pt>
              </c:strCache>
            </c:strRef>
          </c:tx>
          <c:spPr>
            <a:ln w="25400" cap="flat">
              <a:solidFill>
                <a:srgbClr val="578726"/>
              </a:solidFill>
              <a:prstDash val="solid"/>
              <a:miter lim="400000"/>
            </a:ln>
            <a:effectLst/>
          </c:spPr>
          <c:marker>
            <c:symbol val="circle"/>
            <c:size val="2"/>
            <c:spPr>
              <a:solidFill>
                <a:srgbClr val="FFFFFF"/>
              </a:solidFill>
              <a:ln w="50800" cap="flat">
                <a:solidFill>
                  <a:srgbClr val="578726"/>
                </a:solidFill>
                <a:prstDash val="solid"/>
                <a:miter lim="400000"/>
              </a:ln>
              <a:effectLst/>
            </c:spPr>
          </c:marker>
          <c:cat>
            <c:strRef>
              <c:f>Sheet1!$A$2:$A$12</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Sheet1!$C$2:$C$12</c:f>
              <c:numCache>
                <c:formatCode>General</c:formatCode>
                <c:ptCount val="11"/>
                <c:pt idx="0">
                  <c:v>100.0</c:v>
                </c:pt>
                <c:pt idx="1">
                  <c:v>121.385504</c:v>
                </c:pt>
                <c:pt idx="2">
                  <c:v>133.252085</c:v>
                </c:pt>
                <c:pt idx="3">
                  <c:v>168.261706</c:v>
                </c:pt>
                <c:pt idx="4">
                  <c:v>118.191148</c:v>
                </c:pt>
                <c:pt idx="5">
                  <c:v>141.706222</c:v>
                </c:pt>
                <c:pt idx="6">
                  <c:v>132.828736</c:v>
                </c:pt>
                <c:pt idx="7">
                  <c:v>64.939064</c:v>
                </c:pt>
                <c:pt idx="8">
                  <c:v>59.474022</c:v>
                </c:pt>
                <c:pt idx="9">
                  <c:v>57.39576700000001</c:v>
                </c:pt>
                <c:pt idx="10">
                  <c:v>54.868505</c:v>
                </c:pt>
              </c:numCache>
            </c:numRef>
          </c:val>
          <c:smooth val="0"/>
          <c:extLst xmlns:c16r2="http://schemas.microsoft.com/office/drawing/2015/06/chart">
            <c:ext xmlns:c16="http://schemas.microsoft.com/office/drawing/2014/chart" uri="{C3380CC4-5D6E-409C-BE32-E72D297353CC}">
              <c16:uniqueId val="{00000001-E237-44C6-9F07-458C0396B6FD}"/>
            </c:ext>
          </c:extLst>
        </c:ser>
        <c:dLbls>
          <c:showLegendKey val="0"/>
          <c:showVal val="0"/>
          <c:showCatName val="0"/>
          <c:showSerName val="0"/>
          <c:showPercent val="0"/>
          <c:showBubbleSize val="0"/>
        </c:dLbls>
        <c:marker val="1"/>
        <c:smooth val="0"/>
        <c:axId val="-1986201024"/>
        <c:axId val="-1986198976"/>
      </c:lineChart>
      <c:catAx>
        <c:axId val="-1986201024"/>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5400000" vert="horz"/>
          <a:lstStyle/>
          <a:p>
            <a:pPr>
              <a:defRPr sz="809" b="0" i="0" u="none" strike="noStrike">
                <a:solidFill>
                  <a:srgbClr val="000000"/>
                </a:solidFill>
                <a:latin typeface="Arial"/>
              </a:defRPr>
            </a:pPr>
            <a:endParaRPr lang="en-GB"/>
          </a:p>
        </c:txPr>
        <c:crossAx val="-1986198976"/>
        <c:crosses val="autoZero"/>
        <c:auto val="1"/>
        <c:lblAlgn val="ctr"/>
        <c:lblOffset val="100"/>
        <c:noMultiLvlLbl val="1"/>
      </c:catAx>
      <c:valAx>
        <c:axId val="-1986198976"/>
        <c:scaling>
          <c:orientation val="minMax"/>
        </c:scaling>
        <c:delete val="0"/>
        <c:axPos val="l"/>
        <c:majorGridlines>
          <c:spPr>
            <a:ln w="6350" cap="flat">
              <a:solidFill>
                <a:schemeClr val="tx1"/>
              </a:solidFill>
              <a:prstDash val="solid"/>
              <a:miter lim="400000"/>
            </a:ln>
          </c:spPr>
        </c:majorGridlines>
        <c:title>
          <c:tx>
            <c:rich>
              <a:bodyPr/>
              <a:lstStyle/>
              <a:p>
                <a:pPr>
                  <a:defRPr/>
                </a:pPr>
                <a:r>
                  <a:rPr lang="en-GB" b="0"/>
                  <a:t>Index = 100</a:t>
                </a:r>
              </a:p>
            </c:rich>
          </c:tx>
          <c:overlay val="0"/>
        </c:title>
        <c:numFmt formatCode="General" sourceLinked="0"/>
        <c:majorTickMark val="none"/>
        <c:minorTickMark val="none"/>
        <c:tickLblPos val="nextTo"/>
        <c:txPr>
          <a:bodyPr rot="0"/>
          <a:lstStyle/>
          <a:p>
            <a:pPr>
              <a:defRPr sz="809" b="0" i="0" u="none" strike="noStrike">
                <a:solidFill>
                  <a:srgbClr val="000000"/>
                </a:solidFill>
                <a:latin typeface="Arial"/>
              </a:defRPr>
            </a:pPr>
            <a:endParaRPr lang="en-GB"/>
          </a:p>
        </c:txPr>
        <c:crossAx val="-1986201024"/>
        <c:crosses val="autoZero"/>
        <c:crossBetween val="midCat"/>
        <c:majorUnit val="20.0"/>
        <c:minorUnit val="10.0"/>
      </c:valAx>
      <c:spPr>
        <a:noFill/>
        <a:ln w="12700" cap="flat">
          <a:noFill/>
          <a:miter lim="400000"/>
        </a:ln>
        <a:effectLst/>
      </c:spPr>
    </c:plotArea>
    <c:legend>
      <c:legendPos val="r"/>
      <c:overlay val="0"/>
      <c:spPr>
        <a:noFill/>
        <a:ln w="12700" cap="flat">
          <a:noFill/>
          <a:miter lim="400000"/>
        </a:ln>
        <a:effectLst/>
      </c:spPr>
      <c:txPr>
        <a:bodyPr rot="0"/>
        <a:lstStyle/>
        <a:p>
          <a:pPr>
            <a:defRPr sz="809" b="0" i="0" u="none" strike="noStrike">
              <a:solidFill>
                <a:srgbClr val="000000"/>
              </a:solidFill>
              <a:latin typeface="Arial"/>
            </a:defRPr>
          </a:pPr>
          <a:endParaRPr lang="en-GB"/>
        </a:p>
      </c:txPr>
    </c:legend>
    <c:plotVisOnly val="1"/>
    <c:dispBlanksAs val="gap"/>
    <c:showDLblsOverMax val="1"/>
  </c:chart>
  <c:spPr>
    <a:noFill/>
    <a:ln>
      <a:noFill/>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928" b="1" i="0" u="none" strike="noStrike">
                <a:solidFill>
                  <a:srgbClr val="000000"/>
                </a:solidFill>
                <a:latin typeface="Helvetica Neue"/>
              </a:defRPr>
            </a:pPr>
            <a:r>
              <a:rPr lang="en-GB" sz="928" b="1" i="0" u="none" strike="noStrike">
                <a:solidFill>
                  <a:srgbClr val="000000"/>
                </a:solidFill>
                <a:latin typeface="Helvetica Neue"/>
              </a:rPr>
              <a:t>What aspects of the tram system do you feel drive this price increase? </a:t>
            </a:r>
          </a:p>
        </c:rich>
      </c:tx>
      <c:layout>
        <c:manualLayout>
          <c:xMode val="edge"/>
          <c:yMode val="edge"/>
          <c:x val="0.137238"/>
          <c:y val="0.0"/>
          <c:w val="0.725523"/>
          <c:h val="0.138113"/>
        </c:manualLayout>
      </c:layout>
      <c:overlay val="1"/>
      <c:spPr>
        <a:noFill/>
        <a:effectLst/>
      </c:spPr>
    </c:title>
    <c:autoTitleDeleted val="0"/>
    <c:plotArea>
      <c:layout>
        <c:manualLayout>
          <c:layoutTarget val="inner"/>
          <c:xMode val="edge"/>
          <c:yMode val="edge"/>
          <c:x val="0.432680932204491"/>
          <c:y val="0.151237185585579"/>
          <c:w val="0.491783"/>
          <c:h val="0.756033505425106"/>
        </c:manualLayout>
      </c:layout>
      <c:barChart>
        <c:barDir val="bar"/>
        <c:grouping val="clustered"/>
        <c:varyColors val="0"/>
        <c:ser>
          <c:idx val="0"/>
          <c:order val="0"/>
          <c:tx>
            <c:strRef>
              <c:f>Sheet1!$B$1</c:f>
              <c:strCache>
                <c:ptCount val="1"/>
                <c:pt idx="0">
                  <c:v>Untitled 1</c:v>
                </c:pt>
              </c:strCache>
            </c:strRef>
          </c:tx>
          <c:spPr>
            <a:solidFill>
              <a:srgbClr val="5E86B8"/>
            </a:solidFill>
            <a:ln w="6350" cap="flat">
              <a:solidFill>
                <a:srgbClr val="FFFFFF"/>
              </a:solidFill>
              <a:prstDash val="solid"/>
              <a:miter lim="800000"/>
            </a:ln>
            <a:effectLst/>
          </c:spPr>
          <c:invertIfNegative val="0"/>
          <c:cat>
            <c:strRef>
              <c:f>Sheet1!$A$2:$A$11</c:f>
              <c:strCache>
                <c:ptCount val="10"/>
                <c:pt idx="0">
                  <c:v>Faster journey times</c:v>
                </c:pt>
                <c:pt idx="1">
                  <c:v>Avoiding traffic congestion</c:v>
                </c:pt>
                <c:pt idx="2">
                  <c:v>Better access to city centre</c:v>
                </c:pt>
                <c:pt idx="3">
                  <c:v>More reliable journey times</c:v>
                </c:pt>
                <c:pt idx="4">
                  <c:v>Avoiding the need to park</c:v>
                </c:pt>
                <c:pt idx="5">
                  <c:v>Easier interchange with national rail</c:v>
                </c:pt>
                <c:pt idx="6">
                  <c:v>Environmental benefits</c:v>
                </c:pt>
                <c:pt idx="7">
                  <c:v>Positive modern city image associated with trams</c:v>
                </c:pt>
                <c:pt idx="8">
                  <c:v>Improved safety</c:v>
                </c:pt>
                <c:pt idx="9">
                  <c:v>Other (please specify) </c:v>
                </c:pt>
              </c:strCache>
            </c:strRef>
          </c:cat>
          <c:val>
            <c:numRef>
              <c:f>Sheet1!$B$2:$B$11</c:f>
              <c:numCache>
                <c:formatCode>General</c:formatCode>
                <c:ptCount val="10"/>
                <c:pt idx="0">
                  <c:v>0.5556</c:v>
                </c:pt>
                <c:pt idx="1">
                  <c:v>0.8889</c:v>
                </c:pt>
                <c:pt idx="2">
                  <c:v>0.7778</c:v>
                </c:pt>
                <c:pt idx="3">
                  <c:v>0.5556</c:v>
                </c:pt>
                <c:pt idx="4">
                  <c:v>0.5556</c:v>
                </c:pt>
                <c:pt idx="5">
                  <c:v>0.3333</c:v>
                </c:pt>
                <c:pt idx="6">
                  <c:v>0.1111</c:v>
                </c:pt>
                <c:pt idx="7">
                  <c:v>0.2222</c:v>
                </c:pt>
                <c:pt idx="8">
                  <c:v>0.1111</c:v>
                </c:pt>
                <c:pt idx="9">
                  <c:v>0.0</c:v>
                </c:pt>
              </c:numCache>
            </c:numRef>
          </c:val>
          <c:extLst xmlns:c16r2="http://schemas.microsoft.com/office/drawing/2015/06/chart">
            <c:ext xmlns:c16="http://schemas.microsoft.com/office/drawing/2014/chart" uri="{C3380CC4-5D6E-409C-BE32-E72D297353CC}">
              <c16:uniqueId val="{00000000-AC3C-4ABE-820C-8CC93BBC6118}"/>
            </c:ext>
          </c:extLst>
        </c:ser>
        <c:dLbls>
          <c:showLegendKey val="0"/>
          <c:showVal val="0"/>
          <c:showCatName val="0"/>
          <c:showSerName val="0"/>
          <c:showPercent val="0"/>
          <c:showBubbleSize val="0"/>
        </c:dLbls>
        <c:gapWidth val="150"/>
        <c:axId val="-1986175408"/>
        <c:axId val="-1986172656"/>
      </c:barChart>
      <c:catAx>
        <c:axId val="-1986175408"/>
        <c:scaling>
          <c:orientation val="maxMin"/>
        </c:scaling>
        <c:delete val="0"/>
        <c:axPos val="l"/>
        <c:numFmt formatCode="0.00%" sourceLinked="0"/>
        <c:majorTickMark val="out"/>
        <c:minorTickMark val="none"/>
        <c:tickLblPos val="nextTo"/>
        <c:spPr>
          <a:ln w="12700" cap="flat">
            <a:solidFill>
              <a:srgbClr val="888888"/>
            </a:solidFill>
            <a:prstDash val="solid"/>
            <a:miter lim="800000"/>
          </a:ln>
        </c:spPr>
        <c:txPr>
          <a:bodyPr rot="0"/>
          <a:lstStyle/>
          <a:p>
            <a:pPr>
              <a:defRPr sz="856" b="0" i="0" u="none" strike="noStrike">
                <a:solidFill>
                  <a:srgbClr val="000000"/>
                </a:solidFill>
                <a:latin typeface="Helvetica Neue"/>
              </a:defRPr>
            </a:pPr>
            <a:endParaRPr lang="en-GB"/>
          </a:p>
        </c:txPr>
        <c:crossAx val="-1986172656"/>
        <c:crosses val="autoZero"/>
        <c:auto val="1"/>
        <c:lblAlgn val="ctr"/>
        <c:lblOffset val="100"/>
        <c:noMultiLvlLbl val="1"/>
      </c:catAx>
      <c:valAx>
        <c:axId val="-1986172656"/>
        <c:scaling>
          <c:orientation val="minMax"/>
          <c:max val="1.0"/>
          <c:min val="0.0"/>
        </c:scaling>
        <c:delete val="0"/>
        <c:axPos val="t"/>
        <c:numFmt formatCode="0.00%" sourceLinked="0"/>
        <c:majorTickMark val="out"/>
        <c:minorTickMark val="none"/>
        <c:tickLblPos val="high"/>
        <c:spPr>
          <a:ln w="12700" cap="flat">
            <a:solidFill>
              <a:srgbClr val="888888"/>
            </a:solidFill>
            <a:prstDash val="solid"/>
            <a:miter lim="800000"/>
          </a:ln>
        </c:spPr>
        <c:txPr>
          <a:bodyPr rot="0"/>
          <a:lstStyle/>
          <a:p>
            <a:pPr>
              <a:defRPr sz="856" b="0" i="0" u="none" strike="noStrike">
                <a:solidFill>
                  <a:srgbClr val="000000"/>
                </a:solidFill>
                <a:latin typeface="Helvetica Neue"/>
              </a:defRPr>
            </a:pPr>
            <a:endParaRPr lang="en-GB"/>
          </a:p>
        </c:txPr>
        <c:crossAx val="-1986175408"/>
        <c:crosses val="autoZero"/>
        <c:crossBetween val="between"/>
        <c:majorUnit val="0.225"/>
        <c:minorUnit val="0.1125"/>
      </c:valAx>
      <c:spPr>
        <a:solidFill>
          <a:srgbClr val="FFFFFF"/>
        </a:solidFill>
        <a:ln w="12700" cap="flat">
          <a:solidFill>
            <a:srgbClr val="888888"/>
          </a:solidFill>
          <a:prstDash val="solid"/>
          <a:miter lim="800000"/>
        </a:ln>
        <a:effectLst/>
      </c:spPr>
    </c:plotArea>
    <c:plotVisOnly val="1"/>
    <c:dispBlanksAs val="gap"/>
    <c:showDLblsOverMax val="1"/>
  </c:chart>
  <c:spPr>
    <a:solidFill>
      <a:srgbClr val="FFFFFF"/>
    </a:solidFill>
    <a:ln w="12700" cap="flat">
      <a:solidFill>
        <a:srgbClr val="888888"/>
      </a:solidFill>
      <a:prstDash val="solid"/>
      <a:miter lim="800000"/>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928" b="1" i="0" u="none" strike="noStrike">
                <a:solidFill>
                  <a:srgbClr val="000000"/>
                </a:solidFill>
                <a:latin typeface="Helvetica Neue"/>
              </a:defRPr>
            </a:pPr>
            <a:r>
              <a:rPr lang="en-GB"/>
              <a:t>What negative effects of the tram do you feel drives this price decrease the most? (please tick more than one if applicable)</a:t>
            </a:r>
          </a:p>
        </c:rich>
      </c:tx>
      <c:layout>
        <c:manualLayout>
          <c:xMode val="edge"/>
          <c:yMode val="edge"/>
          <c:x val="0.137238"/>
          <c:y val="0.0"/>
          <c:w val="0.725523"/>
          <c:h val="0.138113"/>
        </c:manualLayout>
      </c:layout>
      <c:overlay val="1"/>
      <c:spPr>
        <a:noFill/>
        <a:effectLst/>
      </c:spPr>
    </c:title>
    <c:autoTitleDeleted val="0"/>
    <c:plotArea>
      <c:layout>
        <c:manualLayout>
          <c:layoutTarget val="inner"/>
          <c:xMode val="edge"/>
          <c:yMode val="edge"/>
          <c:x val="0.432680932204491"/>
          <c:y val="0.151237185585579"/>
          <c:w val="0.491783"/>
          <c:h val="0.756033505425106"/>
        </c:manualLayout>
      </c:layout>
      <c:barChart>
        <c:barDir val="bar"/>
        <c:grouping val="clustered"/>
        <c:varyColors val="0"/>
        <c:ser>
          <c:idx val="0"/>
          <c:order val="0"/>
          <c:spPr>
            <a:solidFill>
              <a:srgbClr val="5E86B8"/>
            </a:solidFill>
            <a:ln w="6350" cap="flat">
              <a:solidFill>
                <a:srgbClr val="FFFFFF"/>
              </a:solidFill>
              <a:prstDash val="solid"/>
              <a:miter lim="800000"/>
            </a:ln>
            <a:effectLst/>
          </c:spPr>
          <c:invertIfNegative val="0"/>
          <c:cat>
            <c:strRef>
              <c:f>'Q7'!$A$3:$A$9</c:f>
              <c:strCache>
                <c:ptCount val="7"/>
                <c:pt idx="0">
                  <c:v>Noise and vibrations</c:v>
                </c:pt>
                <c:pt idx="1">
                  <c:v>Low attractiveness of tram (i.e. overcrowding, high fares)</c:v>
                </c:pt>
                <c:pt idx="2">
                  <c:v>Increased pedestrian throughput</c:v>
                </c:pt>
                <c:pt idx="3">
                  <c:v>Anti-social behaviour</c:v>
                </c:pt>
                <c:pt idx="4">
                  <c:v>Visual intrusion</c:v>
                </c:pt>
                <c:pt idx="5">
                  <c:v>Reduced provision for car travel</c:v>
                </c:pt>
                <c:pt idx="6">
                  <c:v>Other (please specify)</c:v>
                </c:pt>
              </c:strCache>
            </c:strRef>
          </c:cat>
          <c:val>
            <c:numRef>
              <c:f>'Q7'!$C$3:$C$9</c:f>
              <c:numCache>
                <c:formatCode>0.00%</c:formatCode>
                <c:ptCount val="7"/>
                <c:pt idx="0">
                  <c:v>0.833333333333333</c:v>
                </c:pt>
                <c:pt idx="1">
                  <c:v>0.0</c:v>
                </c:pt>
                <c:pt idx="2">
                  <c:v>0.0</c:v>
                </c:pt>
                <c:pt idx="3">
                  <c:v>0.166666666666667</c:v>
                </c:pt>
                <c:pt idx="4">
                  <c:v>0.666666666666667</c:v>
                </c:pt>
                <c:pt idx="5">
                  <c:v>0.333333333333333</c:v>
                </c:pt>
                <c:pt idx="6">
                  <c:v>0.166666666666667</c:v>
                </c:pt>
              </c:numCache>
            </c:numRef>
          </c:val>
          <c:extLst xmlns:c16r2="http://schemas.microsoft.com/office/drawing/2015/06/chart">
            <c:ext xmlns:c16="http://schemas.microsoft.com/office/drawing/2014/chart" uri="{C3380CC4-5D6E-409C-BE32-E72D297353CC}">
              <c16:uniqueId val="{00000000-C2AA-4EE1-A017-947EAD962BA0}"/>
            </c:ext>
          </c:extLst>
        </c:ser>
        <c:dLbls>
          <c:showLegendKey val="0"/>
          <c:showVal val="0"/>
          <c:showCatName val="0"/>
          <c:showSerName val="0"/>
          <c:showPercent val="0"/>
          <c:showBubbleSize val="0"/>
        </c:dLbls>
        <c:gapWidth val="150"/>
        <c:axId val="-1986147536"/>
        <c:axId val="-1986144784"/>
      </c:barChart>
      <c:catAx>
        <c:axId val="-1986147536"/>
        <c:scaling>
          <c:orientation val="maxMin"/>
        </c:scaling>
        <c:delete val="0"/>
        <c:axPos val="l"/>
        <c:numFmt formatCode="0.00%" sourceLinked="0"/>
        <c:majorTickMark val="out"/>
        <c:minorTickMark val="none"/>
        <c:tickLblPos val="nextTo"/>
        <c:spPr>
          <a:ln w="12700" cap="flat">
            <a:solidFill>
              <a:srgbClr val="888888"/>
            </a:solidFill>
            <a:prstDash val="solid"/>
            <a:miter lim="800000"/>
          </a:ln>
        </c:spPr>
        <c:txPr>
          <a:bodyPr rot="0"/>
          <a:lstStyle/>
          <a:p>
            <a:pPr>
              <a:defRPr sz="856" b="0" i="0" u="none" strike="noStrike">
                <a:solidFill>
                  <a:srgbClr val="000000"/>
                </a:solidFill>
                <a:latin typeface="Helvetica Neue"/>
              </a:defRPr>
            </a:pPr>
            <a:endParaRPr lang="en-GB"/>
          </a:p>
        </c:txPr>
        <c:crossAx val="-1986144784"/>
        <c:crosses val="autoZero"/>
        <c:auto val="1"/>
        <c:lblAlgn val="ctr"/>
        <c:lblOffset val="100"/>
        <c:noMultiLvlLbl val="1"/>
      </c:catAx>
      <c:valAx>
        <c:axId val="-1986144784"/>
        <c:scaling>
          <c:orientation val="minMax"/>
          <c:max val="1.0"/>
          <c:min val="0.0"/>
        </c:scaling>
        <c:delete val="0"/>
        <c:axPos val="t"/>
        <c:numFmt formatCode="0.00%" sourceLinked="0"/>
        <c:majorTickMark val="out"/>
        <c:minorTickMark val="none"/>
        <c:tickLblPos val="high"/>
        <c:spPr>
          <a:ln w="12700" cap="flat">
            <a:solidFill>
              <a:srgbClr val="888888"/>
            </a:solidFill>
            <a:prstDash val="solid"/>
            <a:miter lim="800000"/>
          </a:ln>
        </c:spPr>
        <c:txPr>
          <a:bodyPr rot="0"/>
          <a:lstStyle/>
          <a:p>
            <a:pPr>
              <a:defRPr sz="856" b="0" i="0" u="none" strike="noStrike">
                <a:solidFill>
                  <a:srgbClr val="000000"/>
                </a:solidFill>
                <a:latin typeface="Helvetica Neue"/>
              </a:defRPr>
            </a:pPr>
            <a:endParaRPr lang="en-GB"/>
          </a:p>
        </c:txPr>
        <c:crossAx val="-1986147536"/>
        <c:crosses val="autoZero"/>
        <c:crossBetween val="between"/>
        <c:majorUnit val="0.225"/>
        <c:minorUnit val="0.1125"/>
      </c:valAx>
      <c:spPr>
        <a:solidFill>
          <a:srgbClr val="FFFFFF"/>
        </a:solidFill>
        <a:ln w="12700" cap="flat">
          <a:solidFill>
            <a:srgbClr val="888888"/>
          </a:solidFill>
          <a:prstDash val="solid"/>
          <a:miter lim="800000"/>
        </a:ln>
        <a:effectLst/>
      </c:spPr>
    </c:plotArea>
    <c:plotVisOnly val="1"/>
    <c:dispBlanksAs val="gap"/>
    <c:showDLblsOverMax val="1"/>
  </c:chart>
  <c:spPr>
    <a:solidFill>
      <a:srgbClr val="FFFFFF"/>
    </a:solidFill>
    <a:ln w="12700" cap="flat">
      <a:solidFill>
        <a:srgbClr val="888888"/>
      </a:solidFill>
      <a:prstDash val="solid"/>
      <a:miter lim="800000"/>
    </a:ln>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Calibri"/>
      <a:ea typeface="Calibri"/>
      <a:cs typeface="Calibri"/>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8D8C3-E3B8-9D43-AB22-92F0C9CE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8783</Words>
  <Characters>50067</Characters>
  <Application>Microsoft Macintosh Word</Application>
  <DocSecurity>0</DocSecurity>
  <Lines>417</Lines>
  <Paragraphs>117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INTRODUCTION</vt:lpstr>
      <vt:lpstr>METHODOLOGY</vt:lpstr>
      <vt:lpstr>    Identifying Eligible Census Zones</vt:lpstr>
      <vt:lpstr>    Measuring Gentrification</vt:lpstr>
      <vt:lpstr>    Devising a Suitable Control Area </vt:lpstr>
      <vt:lpstr>DISCUSSION</vt:lpstr>
      <vt:lpstr>    Objective 1</vt:lpstr>
      <vt:lpstr>        Average Price Paid</vt:lpstr>
      <vt:lpstr>        Educational Attainment</vt:lpstr>
      <vt:lpstr>        Higher/Lower Managerial Occupations</vt:lpstr>
      <vt:lpstr>    Objective 2</vt:lpstr>
      <vt:lpstr>        Comparison of Capital Indicators of Gentrification</vt:lpstr>
      <vt:lpstr>        Comparison of Social Indicators of Gentrification</vt:lpstr>
      <vt:lpstr>        Comparison by N.E.T Stop</vt:lpstr>
      <vt:lpstr>    Objective 3</vt:lpstr>
      <vt:lpstr>        Positive/Negative Characteristics of Light Rail</vt:lpstr>
      <vt:lpstr>        Modal Perspectives</vt:lpstr>
      <vt:lpstr>CONCLUSIONS</vt:lpstr>
      <vt:lpstr>    Policy Recommendations and Further Research</vt:lpstr>
      <vt:lpstr>BIBLIOGRAPHY</vt:lpstr>
    </vt:vector>
  </TitlesOfParts>
  <Company/>
  <LinksUpToDate>false</LinksUpToDate>
  <CharactersWithSpaces>58733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Dawes</dc:creator>
  <cp:keywords/>
  <dc:description/>
  <cp:lastModifiedBy>Andy Costain</cp:lastModifiedBy>
  <cp:revision>2</cp:revision>
  <dcterms:created xsi:type="dcterms:W3CDTF">2017-07-04T12:45:00Z</dcterms:created>
  <dcterms:modified xsi:type="dcterms:W3CDTF">2017-07-04T12:45:00Z</dcterms:modified>
</cp:coreProperties>
</file>